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jc w:val="center"/>
        <w:rPr>
          <w:rFonts w:ascii="方正小标宋简体" w:eastAsia="方正小标宋简体"/>
          <w:sz w:val="36"/>
          <w:szCs w:val="36"/>
        </w:rPr>
      </w:pPr>
      <w:r>
        <w:rPr>
          <w:rFonts w:hint="eastAsia" w:ascii="方正小标宋简体" w:eastAsia="方正小标宋简体"/>
          <w:sz w:val="36"/>
          <w:szCs w:val="36"/>
        </w:rPr>
        <w:t>《贵重物品寄递服务规范》团体标准编制说明</w:t>
      </w:r>
    </w:p>
    <w:p>
      <w:pPr>
        <w:rPr>
          <w:rFonts w:hint="eastAsia" w:ascii="方正小标宋简体" w:eastAsia="方正小标宋简体"/>
          <w:sz w:val="36"/>
          <w:szCs w:val="36"/>
        </w:rPr>
      </w:pPr>
    </w:p>
    <w:p>
      <w:pPr>
        <w:outlineLvl w:val="0"/>
        <w:rPr>
          <w:rFonts w:ascii="黑体" w:hAnsi="黑体" w:eastAsia="黑体"/>
          <w:sz w:val="32"/>
          <w:szCs w:val="32"/>
        </w:rPr>
      </w:pPr>
      <w:r>
        <w:rPr>
          <w:rFonts w:hint="eastAsia" w:ascii="黑体" w:hAnsi="黑体" w:eastAsia="黑体"/>
          <w:sz w:val="32"/>
          <w:szCs w:val="32"/>
        </w:rPr>
        <w:t>一、工作简况</w:t>
      </w:r>
    </w:p>
    <w:p>
      <w:pPr>
        <w:rPr>
          <w:rFonts w:ascii="楷体" w:hAnsi="楷体" w:eastAsia="楷体"/>
          <w:sz w:val="32"/>
          <w:szCs w:val="32"/>
        </w:rPr>
      </w:pPr>
      <w:r>
        <w:rPr>
          <w:rFonts w:hint="eastAsia" w:ascii="楷体" w:hAnsi="楷体" w:eastAsia="楷体"/>
          <w:sz w:val="32"/>
          <w:szCs w:val="32"/>
          <w:lang w:eastAsia="zh-CN"/>
        </w:rPr>
        <w:t>（</w:t>
      </w:r>
      <w:r>
        <w:rPr>
          <w:rFonts w:hint="eastAsia" w:ascii="楷体" w:hAnsi="楷体" w:eastAsia="楷体"/>
          <w:sz w:val="32"/>
          <w:szCs w:val="32"/>
          <w:lang w:val="en-US" w:eastAsia="zh-CN"/>
        </w:rPr>
        <w:t>一</w:t>
      </w:r>
      <w:r>
        <w:rPr>
          <w:rFonts w:hint="eastAsia" w:ascii="楷体" w:hAnsi="楷体" w:eastAsia="楷体"/>
          <w:sz w:val="32"/>
          <w:szCs w:val="32"/>
          <w:lang w:eastAsia="zh-CN"/>
        </w:rPr>
        <w:t>）</w:t>
      </w:r>
      <w:r>
        <w:rPr>
          <w:rFonts w:hint="eastAsia" w:ascii="楷体" w:hAnsi="楷体" w:eastAsia="楷体"/>
          <w:sz w:val="32"/>
          <w:szCs w:val="32"/>
        </w:rPr>
        <w:t>任务来源</w:t>
      </w:r>
    </w:p>
    <w:p>
      <w:pPr>
        <w:ind w:firstLine="640" w:firstLineChars="200"/>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021</w:t>
      </w:r>
      <w:r>
        <w:rPr>
          <w:rFonts w:hint="eastAsia" w:ascii="仿宋" w:hAnsi="仿宋" w:eastAsia="仿宋"/>
          <w:sz w:val="32"/>
          <w:szCs w:val="32"/>
        </w:rPr>
        <w:t>年1</w:t>
      </w:r>
      <w:r>
        <w:rPr>
          <w:rFonts w:ascii="仿宋" w:hAnsi="仿宋" w:eastAsia="仿宋"/>
          <w:sz w:val="32"/>
          <w:szCs w:val="32"/>
        </w:rPr>
        <w:t>1</w:t>
      </w:r>
      <w:r>
        <w:rPr>
          <w:rFonts w:hint="eastAsia" w:ascii="仿宋" w:hAnsi="仿宋" w:eastAsia="仿宋"/>
          <w:sz w:val="32"/>
          <w:szCs w:val="32"/>
        </w:rPr>
        <w:t>月1</w:t>
      </w:r>
      <w:r>
        <w:rPr>
          <w:rFonts w:ascii="仿宋" w:hAnsi="仿宋" w:eastAsia="仿宋"/>
          <w:sz w:val="32"/>
          <w:szCs w:val="32"/>
        </w:rPr>
        <w:t>1</w:t>
      </w:r>
      <w:r>
        <w:rPr>
          <w:rFonts w:hint="eastAsia" w:ascii="仿宋" w:hAnsi="仿宋" w:eastAsia="仿宋"/>
          <w:sz w:val="32"/>
          <w:szCs w:val="32"/>
        </w:rPr>
        <w:t>日，由石家庄邮电职业技术学院申请团体标准的立项，根据中国快递协会快递业团体标准委员会下达的2</w:t>
      </w:r>
      <w:r>
        <w:rPr>
          <w:rFonts w:ascii="仿宋" w:hAnsi="仿宋" w:eastAsia="仿宋"/>
          <w:sz w:val="32"/>
          <w:szCs w:val="32"/>
        </w:rPr>
        <w:t>022</w:t>
      </w:r>
      <w:r>
        <w:rPr>
          <w:rFonts w:hint="eastAsia" w:ascii="仿宋" w:hAnsi="仿宋" w:eastAsia="仿宋"/>
          <w:sz w:val="32"/>
          <w:szCs w:val="32"/>
        </w:rPr>
        <w:t>年度团体标准制修订项目计划，批准《贵重物品寄递服务规范》团体标准的制定。</w:t>
      </w:r>
    </w:p>
    <w:p>
      <w:pPr>
        <w:rPr>
          <w:rFonts w:ascii="楷体" w:hAnsi="楷体" w:eastAsia="楷体"/>
          <w:sz w:val="32"/>
          <w:szCs w:val="32"/>
        </w:rPr>
      </w:pPr>
      <w:r>
        <w:rPr>
          <w:rFonts w:hint="eastAsia" w:ascii="楷体" w:hAnsi="楷体" w:eastAsia="楷体"/>
          <w:sz w:val="32"/>
          <w:szCs w:val="32"/>
          <w:lang w:eastAsia="zh-CN"/>
        </w:rPr>
        <w:t>（</w:t>
      </w:r>
      <w:r>
        <w:rPr>
          <w:rFonts w:hint="eastAsia" w:ascii="楷体" w:hAnsi="楷体" w:eastAsia="楷体"/>
          <w:sz w:val="32"/>
          <w:szCs w:val="32"/>
          <w:lang w:val="en-US" w:eastAsia="zh-CN"/>
        </w:rPr>
        <w:t>二</w:t>
      </w:r>
      <w:r>
        <w:rPr>
          <w:rFonts w:hint="eastAsia" w:ascii="楷体" w:hAnsi="楷体" w:eastAsia="楷体"/>
          <w:sz w:val="32"/>
          <w:szCs w:val="32"/>
          <w:lang w:eastAsia="zh-CN"/>
        </w:rPr>
        <w:t>）</w:t>
      </w:r>
      <w:r>
        <w:rPr>
          <w:rFonts w:hint="eastAsia" w:ascii="楷体" w:hAnsi="楷体" w:eastAsia="楷体"/>
          <w:sz w:val="32"/>
          <w:szCs w:val="32"/>
        </w:rPr>
        <w:t>起草单位、参编单位</w:t>
      </w:r>
    </w:p>
    <w:p>
      <w:pPr>
        <w:ind w:firstLine="640" w:firstLineChars="200"/>
        <w:rPr>
          <w:rFonts w:ascii="仿宋" w:hAnsi="仿宋" w:eastAsia="仿宋"/>
          <w:sz w:val="32"/>
          <w:szCs w:val="32"/>
        </w:rPr>
      </w:pPr>
      <w:r>
        <w:rPr>
          <w:rFonts w:hint="eastAsia" w:ascii="仿宋" w:hAnsi="仿宋" w:eastAsia="仿宋"/>
          <w:sz w:val="32"/>
          <w:szCs w:val="32"/>
        </w:rPr>
        <w:t>起草单位：石家庄邮电职业技术学院</w:t>
      </w:r>
    </w:p>
    <w:p>
      <w:pPr>
        <w:ind w:firstLine="640" w:firstLineChars="200"/>
        <w:rPr>
          <w:rFonts w:hint="eastAsia" w:ascii="仿宋" w:hAnsi="仿宋" w:eastAsia="仿宋"/>
          <w:sz w:val="32"/>
          <w:szCs w:val="32"/>
        </w:rPr>
      </w:pPr>
      <w:r>
        <w:rPr>
          <w:rFonts w:hint="eastAsia" w:ascii="仿宋" w:hAnsi="仿宋" w:eastAsia="仿宋"/>
          <w:sz w:val="32"/>
          <w:szCs w:val="32"/>
        </w:rPr>
        <w:t>参编单位：</w:t>
      </w:r>
      <w:r>
        <w:rPr>
          <w:rFonts w:hint="eastAsia" w:ascii="仿宋" w:hAnsi="仿宋" w:eastAsia="仿宋"/>
          <w:sz w:val="32"/>
          <w:szCs w:val="32"/>
          <w:lang w:val="en-US" w:eastAsia="zh-CN"/>
        </w:rPr>
        <w:t>中国邮政速递物流股份有限公司、</w:t>
      </w:r>
      <w:r>
        <w:rPr>
          <w:rFonts w:hint="eastAsia" w:ascii="仿宋" w:hAnsi="仿宋" w:eastAsia="仿宋"/>
          <w:sz w:val="32"/>
          <w:szCs w:val="32"/>
        </w:rPr>
        <w:t>中通快递股份有限公司</w:t>
      </w:r>
    </w:p>
    <w:p>
      <w:pPr>
        <w:rPr>
          <w:rFonts w:ascii="楷体" w:hAnsi="楷体" w:eastAsia="楷体"/>
          <w:sz w:val="32"/>
          <w:szCs w:val="32"/>
        </w:rPr>
      </w:pPr>
      <w:r>
        <w:rPr>
          <w:rFonts w:hint="eastAsia" w:ascii="楷体" w:hAnsi="楷体" w:eastAsia="楷体"/>
          <w:sz w:val="32"/>
          <w:szCs w:val="32"/>
          <w:lang w:eastAsia="zh-CN"/>
        </w:rPr>
        <w:t>（</w:t>
      </w:r>
      <w:r>
        <w:rPr>
          <w:rFonts w:hint="eastAsia" w:ascii="楷体" w:hAnsi="楷体" w:eastAsia="楷体"/>
          <w:sz w:val="32"/>
          <w:szCs w:val="32"/>
          <w:lang w:val="en-US" w:eastAsia="zh-CN"/>
        </w:rPr>
        <w:t>三</w:t>
      </w:r>
      <w:r>
        <w:rPr>
          <w:rFonts w:hint="eastAsia" w:ascii="楷体" w:hAnsi="楷体" w:eastAsia="楷体"/>
          <w:sz w:val="32"/>
          <w:szCs w:val="32"/>
          <w:lang w:eastAsia="zh-CN"/>
        </w:rPr>
        <w:t>）</w:t>
      </w:r>
      <w:r>
        <w:rPr>
          <w:rFonts w:hint="eastAsia" w:ascii="楷体" w:hAnsi="楷体" w:eastAsia="楷体"/>
          <w:sz w:val="32"/>
          <w:szCs w:val="32"/>
        </w:rPr>
        <w:t>主要起草人</w:t>
      </w:r>
    </w:p>
    <w:tbl>
      <w:tblPr>
        <w:tblStyle w:val="6"/>
        <w:tblW w:w="89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7"/>
        <w:gridCol w:w="1076"/>
        <w:gridCol w:w="59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37" w:type="dxa"/>
            <w:vAlign w:val="center"/>
          </w:tcPr>
          <w:p>
            <w:pPr>
              <w:keepNext w:val="0"/>
              <w:keepLines w:val="0"/>
              <w:pageBreakBefore w:val="0"/>
              <w:widowControl w:val="0"/>
              <w:kinsoku/>
              <w:wordWrap/>
              <w:overflowPunct/>
              <w:topLinePunct w:val="0"/>
              <w:autoSpaceDE/>
              <w:autoSpaceDN/>
              <w:bidi w:val="0"/>
              <w:adjustRightInd/>
              <w:snapToGrid/>
              <w:spacing w:line="240" w:lineRule="atLeast"/>
              <w:ind w:right="0" w:firstLine="0" w:firstLineChars="0"/>
              <w:jc w:val="center"/>
              <w:textAlignment w:val="auto"/>
              <w:outlineLvl w:val="9"/>
              <w:rPr>
                <w:rFonts w:hint="eastAsia" w:ascii="黑体" w:hAnsi="黑体" w:eastAsia="黑体" w:cs="黑体"/>
                <w:sz w:val="24"/>
                <w:szCs w:val="24"/>
              </w:rPr>
            </w:pPr>
            <w:r>
              <w:rPr>
                <w:rFonts w:hint="eastAsia" w:ascii="黑体" w:hAnsi="黑体" w:eastAsia="黑体" w:cs="黑体"/>
                <w:sz w:val="24"/>
                <w:szCs w:val="24"/>
              </w:rPr>
              <w:t>主要参加单位</w:t>
            </w:r>
          </w:p>
        </w:tc>
        <w:tc>
          <w:tcPr>
            <w:tcW w:w="1076" w:type="dxa"/>
            <w:vAlign w:val="center"/>
          </w:tcPr>
          <w:p>
            <w:pPr>
              <w:keepNext w:val="0"/>
              <w:keepLines w:val="0"/>
              <w:pageBreakBefore w:val="0"/>
              <w:widowControl w:val="0"/>
              <w:kinsoku/>
              <w:wordWrap/>
              <w:overflowPunct/>
              <w:topLinePunct w:val="0"/>
              <w:autoSpaceDE/>
              <w:autoSpaceDN/>
              <w:bidi w:val="0"/>
              <w:adjustRightInd/>
              <w:snapToGrid/>
              <w:spacing w:line="240" w:lineRule="atLeast"/>
              <w:ind w:right="0" w:firstLine="0" w:firstLineChars="0"/>
              <w:jc w:val="center"/>
              <w:textAlignment w:val="auto"/>
              <w:outlineLvl w:val="9"/>
              <w:rPr>
                <w:rFonts w:hint="eastAsia" w:ascii="黑体" w:hAnsi="黑体" w:eastAsia="黑体" w:cs="黑体"/>
                <w:sz w:val="24"/>
                <w:szCs w:val="24"/>
              </w:rPr>
            </w:pPr>
            <w:r>
              <w:rPr>
                <w:rFonts w:hint="eastAsia" w:ascii="黑体" w:hAnsi="黑体" w:eastAsia="黑体" w:cs="黑体"/>
                <w:sz w:val="24"/>
                <w:szCs w:val="24"/>
              </w:rPr>
              <w:t>成员</w:t>
            </w:r>
          </w:p>
        </w:tc>
        <w:tc>
          <w:tcPr>
            <w:tcW w:w="5913" w:type="dxa"/>
            <w:vAlign w:val="center"/>
          </w:tcPr>
          <w:p>
            <w:pPr>
              <w:keepNext w:val="0"/>
              <w:keepLines w:val="0"/>
              <w:pageBreakBefore w:val="0"/>
              <w:widowControl w:val="0"/>
              <w:kinsoku/>
              <w:wordWrap/>
              <w:overflowPunct/>
              <w:topLinePunct w:val="0"/>
              <w:autoSpaceDE/>
              <w:autoSpaceDN/>
              <w:bidi w:val="0"/>
              <w:adjustRightInd/>
              <w:snapToGrid/>
              <w:spacing w:line="240" w:lineRule="atLeast"/>
              <w:ind w:right="0" w:firstLine="0" w:firstLineChars="0"/>
              <w:jc w:val="center"/>
              <w:textAlignment w:val="auto"/>
              <w:outlineLvl w:val="9"/>
              <w:rPr>
                <w:rFonts w:hint="eastAsia" w:ascii="黑体" w:hAnsi="黑体" w:eastAsia="黑体" w:cs="黑体"/>
                <w:sz w:val="24"/>
                <w:szCs w:val="24"/>
              </w:rPr>
            </w:pPr>
            <w:r>
              <w:rPr>
                <w:rFonts w:hint="eastAsia" w:ascii="黑体" w:hAnsi="黑体" w:eastAsia="黑体" w:cs="黑体"/>
                <w:sz w:val="24"/>
                <w:szCs w:val="24"/>
              </w:rPr>
              <w:t>主要工作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37" w:type="dxa"/>
            <w:vAlign w:val="center"/>
          </w:tcPr>
          <w:p>
            <w:pPr>
              <w:keepNext w:val="0"/>
              <w:keepLines w:val="0"/>
              <w:pageBreakBefore w:val="0"/>
              <w:widowControl w:val="0"/>
              <w:kinsoku/>
              <w:wordWrap/>
              <w:overflowPunct/>
              <w:topLinePunct w:val="0"/>
              <w:autoSpaceDE/>
              <w:autoSpaceDN/>
              <w:bidi w:val="0"/>
              <w:adjustRightInd/>
              <w:snapToGrid/>
              <w:spacing w:line="240" w:lineRule="atLeast"/>
              <w:ind w:right="0" w:firstLine="0" w:firstLineChars="0"/>
              <w:jc w:val="left"/>
              <w:textAlignment w:val="auto"/>
              <w:outlineLvl w:val="9"/>
              <w:rPr>
                <w:rFonts w:ascii="仿宋" w:hAnsi="仿宋" w:eastAsia="仿宋"/>
                <w:sz w:val="24"/>
                <w:szCs w:val="24"/>
              </w:rPr>
            </w:pPr>
            <w:r>
              <w:rPr>
                <w:rFonts w:hint="eastAsia" w:ascii="仿宋" w:hAnsi="仿宋" w:eastAsia="仿宋"/>
                <w:sz w:val="24"/>
                <w:szCs w:val="24"/>
              </w:rPr>
              <w:t>石家庄邮电职业技术学院</w:t>
            </w:r>
          </w:p>
        </w:tc>
        <w:tc>
          <w:tcPr>
            <w:tcW w:w="1076" w:type="dxa"/>
            <w:vAlign w:val="center"/>
          </w:tcPr>
          <w:p>
            <w:pPr>
              <w:keepNext w:val="0"/>
              <w:keepLines w:val="0"/>
              <w:pageBreakBefore w:val="0"/>
              <w:widowControl w:val="0"/>
              <w:kinsoku/>
              <w:wordWrap/>
              <w:overflowPunct/>
              <w:topLinePunct w:val="0"/>
              <w:autoSpaceDE/>
              <w:autoSpaceDN/>
              <w:bidi w:val="0"/>
              <w:adjustRightInd/>
              <w:snapToGrid/>
              <w:spacing w:line="240" w:lineRule="atLeast"/>
              <w:ind w:right="0" w:firstLine="0" w:firstLineChars="0"/>
              <w:jc w:val="left"/>
              <w:textAlignment w:val="auto"/>
              <w:outlineLvl w:val="9"/>
              <w:rPr>
                <w:rFonts w:ascii="仿宋" w:hAnsi="仿宋" w:eastAsia="仿宋"/>
                <w:sz w:val="24"/>
                <w:szCs w:val="24"/>
              </w:rPr>
            </w:pPr>
            <w:r>
              <w:rPr>
                <w:rFonts w:hint="eastAsia" w:ascii="仿宋" w:hAnsi="仿宋" w:eastAsia="仿宋"/>
                <w:sz w:val="24"/>
                <w:szCs w:val="24"/>
              </w:rPr>
              <w:t>赵栓亮</w:t>
            </w:r>
          </w:p>
          <w:p>
            <w:pPr>
              <w:keepNext w:val="0"/>
              <w:keepLines w:val="0"/>
              <w:pageBreakBefore w:val="0"/>
              <w:widowControl w:val="0"/>
              <w:kinsoku/>
              <w:wordWrap/>
              <w:overflowPunct/>
              <w:topLinePunct w:val="0"/>
              <w:autoSpaceDE/>
              <w:autoSpaceDN/>
              <w:bidi w:val="0"/>
              <w:adjustRightInd/>
              <w:snapToGrid/>
              <w:spacing w:line="240" w:lineRule="atLeast"/>
              <w:ind w:right="0" w:firstLine="0" w:firstLineChars="0"/>
              <w:jc w:val="left"/>
              <w:textAlignment w:val="auto"/>
              <w:outlineLvl w:val="9"/>
              <w:rPr>
                <w:rFonts w:ascii="仿宋" w:hAnsi="仿宋" w:eastAsia="仿宋"/>
                <w:sz w:val="24"/>
                <w:szCs w:val="24"/>
              </w:rPr>
            </w:pPr>
            <w:r>
              <w:rPr>
                <w:rFonts w:hint="eastAsia" w:ascii="仿宋" w:hAnsi="仿宋" w:eastAsia="仿宋"/>
                <w:sz w:val="24"/>
                <w:szCs w:val="24"/>
              </w:rPr>
              <w:t>谷斌</w:t>
            </w:r>
          </w:p>
          <w:p>
            <w:pPr>
              <w:keepNext w:val="0"/>
              <w:keepLines w:val="0"/>
              <w:pageBreakBefore w:val="0"/>
              <w:widowControl w:val="0"/>
              <w:kinsoku/>
              <w:wordWrap/>
              <w:overflowPunct/>
              <w:topLinePunct w:val="0"/>
              <w:autoSpaceDE/>
              <w:autoSpaceDN/>
              <w:bidi w:val="0"/>
              <w:adjustRightInd/>
              <w:snapToGrid/>
              <w:spacing w:line="240" w:lineRule="atLeast"/>
              <w:ind w:right="0" w:firstLine="0" w:firstLineChars="0"/>
              <w:jc w:val="left"/>
              <w:textAlignment w:val="auto"/>
              <w:outlineLvl w:val="9"/>
              <w:rPr>
                <w:rFonts w:ascii="仿宋" w:hAnsi="仿宋" w:eastAsia="仿宋"/>
                <w:sz w:val="24"/>
                <w:szCs w:val="24"/>
              </w:rPr>
            </w:pPr>
            <w:r>
              <w:rPr>
                <w:rFonts w:hint="eastAsia" w:ascii="仿宋" w:hAnsi="仿宋" w:eastAsia="仿宋"/>
                <w:sz w:val="24"/>
                <w:szCs w:val="24"/>
              </w:rPr>
              <w:t>同利平</w:t>
            </w:r>
          </w:p>
          <w:p>
            <w:pPr>
              <w:keepNext w:val="0"/>
              <w:keepLines w:val="0"/>
              <w:pageBreakBefore w:val="0"/>
              <w:widowControl w:val="0"/>
              <w:kinsoku/>
              <w:wordWrap/>
              <w:overflowPunct/>
              <w:topLinePunct w:val="0"/>
              <w:autoSpaceDE/>
              <w:autoSpaceDN/>
              <w:bidi w:val="0"/>
              <w:adjustRightInd/>
              <w:snapToGrid/>
              <w:spacing w:line="240" w:lineRule="atLeast"/>
              <w:ind w:right="0" w:firstLine="0" w:firstLineChars="0"/>
              <w:jc w:val="left"/>
              <w:textAlignment w:val="auto"/>
              <w:outlineLvl w:val="9"/>
              <w:rPr>
                <w:rFonts w:ascii="仿宋" w:hAnsi="仿宋" w:eastAsia="仿宋"/>
                <w:sz w:val="24"/>
                <w:szCs w:val="24"/>
              </w:rPr>
            </w:pPr>
            <w:r>
              <w:rPr>
                <w:rFonts w:hint="eastAsia" w:ascii="仿宋" w:hAnsi="仿宋" w:eastAsia="仿宋"/>
                <w:sz w:val="24"/>
                <w:szCs w:val="24"/>
              </w:rPr>
              <w:t>田华</w:t>
            </w:r>
          </w:p>
          <w:p>
            <w:pPr>
              <w:keepNext w:val="0"/>
              <w:keepLines w:val="0"/>
              <w:pageBreakBefore w:val="0"/>
              <w:widowControl w:val="0"/>
              <w:kinsoku/>
              <w:wordWrap/>
              <w:overflowPunct/>
              <w:topLinePunct w:val="0"/>
              <w:autoSpaceDE/>
              <w:autoSpaceDN/>
              <w:bidi w:val="0"/>
              <w:adjustRightInd/>
              <w:snapToGrid/>
              <w:spacing w:line="240" w:lineRule="atLeast"/>
              <w:ind w:right="0" w:firstLine="0" w:firstLineChars="0"/>
              <w:jc w:val="left"/>
              <w:textAlignment w:val="auto"/>
              <w:outlineLvl w:val="9"/>
              <w:rPr>
                <w:rFonts w:ascii="仿宋" w:hAnsi="仿宋" w:eastAsia="仿宋"/>
                <w:sz w:val="24"/>
                <w:szCs w:val="24"/>
              </w:rPr>
            </w:pPr>
            <w:r>
              <w:rPr>
                <w:rFonts w:hint="eastAsia" w:ascii="仿宋" w:hAnsi="仿宋" w:eastAsia="仿宋"/>
                <w:sz w:val="24"/>
                <w:szCs w:val="24"/>
              </w:rPr>
              <w:t>宋扬</w:t>
            </w:r>
          </w:p>
          <w:p>
            <w:pPr>
              <w:keepNext w:val="0"/>
              <w:keepLines w:val="0"/>
              <w:pageBreakBefore w:val="0"/>
              <w:widowControl w:val="0"/>
              <w:kinsoku/>
              <w:wordWrap/>
              <w:overflowPunct/>
              <w:topLinePunct w:val="0"/>
              <w:autoSpaceDE/>
              <w:autoSpaceDN/>
              <w:bidi w:val="0"/>
              <w:adjustRightInd/>
              <w:snapToGrid/>
              <w:spacing w:line="240" w:lineRule="atLeast"/>
              <w:ind w:right="0" w:firstLine="0" w:firstLineChars="0"/>
              <w:jc w:val="left"/>
              <w:textAlignment w:val="auto"/>
              <w:outlineLvl w:val="9"/>
              <w:rPr>
                <w:rFonts w:ascii="仿宋" w:hAnsi="仿宋" w:eastAsia="仿宋"/>
                <w:sz w:val="24"/>
                <w:szCs w:val="24"/>
              </w:rPr>
            </w:pPr>
            <w:r>
              <w:rPr>
                <w:rFonts w:hint="eastAsia" w:ascii="仿宋" w:hAnsi="仿宋" w:eastAsia="仿宋"/>
                <w:sz w:val="24"/>
                <w:szCs w:val="24"/>
              </w:rPr>
              <w:t>马琳娜</w:t>
            </w:r>
          </w:p>
        </w:tc>
        <w:tc>
          <w:tcPr>
            <w:tcW w:w="5913"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tLeast"/>
              <w:ind w:right="0" w:firstLine="0" w:firstLineChars="0"/>
              <w:jc w:val="left"/>
              <w:textAlignment w:val="auto"/>
              <w:outlineLvl w:val="9"/>
              <w:rPr>
                <w:rFonts w:ascii="仿宋" w:hAnsi="仿宋" w:eastAsia="仿宋" w:cs="Times New Roman"/>
                <w:sz w:val="24"/>
                <w:szCs w:val="24"/>
              </w:rPr>
            </w:pPr>
            <w:r>
              <w:rPr>
                <w:rFonts w:ascii="仿宋" w:hAnsi="仿宋" w:eastAsia="仿宋" w:cs="Times New Roman"/>
                <w:sz w:val="24"/>
                <w:szCs w:val="24"/>
              </w:rPr>
              <w:t>1.规定贵重物品寄递的相关术语和定义；</w:t>
            </w:r>
          </w:p>
          <w:p>
            <w:pPr>
              <w:pStyle w:val="7"/>
              <w:keepNext w:val="0"/>
              <w:keepLines w:val="0"/>
              <w:pageBreakBefore w:val="0"/>
              <w:widowControl w:val="0"/>
              <w:kinsoku/>
              <w:wordWrap/>
              <w:overflowPunct/>
              <w:topLinePunct w:val="0"/>
              <w:autoSpaceDE/>
              <w:autoSpaceDN/>
              <w:bidi w:val="0"/>
              <w:adjustRightInd/>
              <w:snapToGrid/>
              <w:spacing w:line="240" w:lineRule="atLeast"/>
              <w:ind w:right="0" w:firstLine="0" w:firstLineChars="0"/>
              <w:jc w:val="left"/>
              <w:textAlignment w:val="auto"/>
              <w:outlineLvl w:val="9"/>
              <w:rPr>
                <w:rFonts w:ascii="仿宋" w:hAnsi="仿宋" w:eastAsia="仿宋" w:cs="Times New Roman"/>
                <w:sz w:val="24"/>
                <w:szCs w:val="24"/>
              </w:rPr>
            </w:pPr>
            <w:r>
              <w:rPr>
                <w:rFonts w:ascii="仿宋" w:hAnsi="仿宋" w:eastAsia="仿宋" w:cs="Times New Roman"/>
                <w:sz w:val="24"/>
                <w:szCs w:val="24"/>
              </w:rPr>
              <w:t>2.规定贵重物品界定标准；</w:t>
            </w:r>
          </w:p>
          <w:p>
            <w:pPr>
              <w:pStyle w:val="7"/>
              <w:keepNext w:val="0"/>
              <w:keepLines w:val="0"/>
              <w:pageBreakBefore w:val="0"/>
              <w:widowControl w:val="0"/>
              <w:kinsoku/>
              <w:wordWrap/>
              <w:overflowPunct/>
              <w:topLinePunct w:val="0"/>
              <w:autoSpaceDE/>
              <w:autoSpaceDN/>
              <w:bidi w:val="0"/>
              <w:adjustRightInd/>
              <w:snapToGrid/>
              <w:spacing w:line="240" w:lineRule="atLeast"/>
              <w:ind w:right="0" w:firstLine="0" w:firstLineChars="0"/>
              <w:jc w:val="left"/>
              <w:textAlignment w:val="auto"/>
              <w:outlineLvl w:val="9"/>
              <w:rPr>
                <w:rFonts w:ascii="仿宋" w:hAnsi="仿宋" w:eastAsia="仿宋" w:cs="Times New Roman"/>
                <w:sz w:val="24"/>
                <w:szCs w:val="24"/>
              </w:rPr>
            </w:pPr>
            <w:r>
              <w:rPr>
                <w:rFonts w:ascii="仿宋" w:hAnsi="仿宋" w:eastAsia="仿宋" w:cs="Times New Roman"/>
                <w:sz w:val="24"/>
                <w:szCs w:val="24"/>
              </w:rPr>
              <w:t>3.规定对贵重物品寄递的收、拣、运、投生产作业的具体要求；</w:t>
            </w:r>
          </w:p>
          <w:p>
            <w:pPr>
              <w:keepNext w:val="0"/>
              <w:keepLines w:val="0"/>
              <w:pageBreakBefore w:val="0"/>
              <w:widowControl w:val="0"/>
              <w:kinsoku/>
              <w:wordWrap/>
              <w:overflowPunct/>
              <w:topLinePunct w:val="0"/>
              <w:autoSpaceDE/>
              <w:autoSpaceDN/>
              <w:bidi w:val="0"/>
              <w:adjustRightInd/>
              <w:snapToGrid/>
              <w:spacing w:line="240" w:lineRule="atLeast"/>
              <w:ind w:right="0" w:firstLine="0" w:firstLineChars="0"/>
              <w:jc w:val="left"/>
              <w:textAlignment w:val="auto"/>
              <w:outlineLvl w:val="9"/>
              <w:rPr>
                <w:rFonts w:ascii="仿宋" w:hAnsi="仿宋" w:eastAsia="仿宋"/>
                <w:sz w:val="24"/>
                <w:szCs w:val="24"/>
              </w:rPr>
            </w:pPr>
            <w:r>
              <w:rPr>
                <w:rFonts w:ascii="仿宋" w:hAnsi="仿宋" w:eastAsia="仿宋" w:cs="Times New Roman"/>
                <w:sz w:val="24"/>
                <w:szCs w:val="24"/>
              </w:rPr>
              <w:t>4.规定在出现丢失、损毁等情形下责任认定标准。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37" w:type="dxa"/>
            <w:vAlign w:val="center"/>
          </w:tcPr>
          <w:p>
            <w:pPr>
              <w:keepNext w:val="0"/>
              <w:keepLines w:val="0"/>
              <w:pageBreakBefore w:val="0"/>
              <w:widowControl w:val="0"/>
              <w:kinsoku/>
              <w:wordWrap/>
              <w:overflowPunct/>
              <w:topLinePunct w:val="0"/>
              <w:autoSpaceDE/>
              <w:autoSpaceDN/>
              <w:bidi w:val="0"/>
              <w:adjustRightInd/>
              <w:snapToGrid/>
              <w:spacing w:line="240" w:lineRule="atLeast"/>
              <w:ind w:right="0" w:firstLine="0" w:firstLineChars="0"/>
              <w:jc w:val="left"/>
              <w:textAlignment w:val="auto"/>
              <w:outlineLvl w:val="9"/>
              <w:rPr>
                <w:rFonts w:hint="eastAsia" w:ascii="仿宋" w:hAnsi="仿宋" w:eastAsia="仿宋"/>
                <w:sz w:val="24"/>
                <w:szCs w:val="24"/>
                <w:lang w:val="en-US" w:eastAsia="zh-CN"/>
              </w:rPr>
            </w:pPr>
            <w:r>
              <w:rPr>
                <w:rFonts w:hint="eastAsia" w:ascii="仿宋" w:hAnsi="仿宋"/>
                <w:sz w:val="24"/>
                <w:szCs w:val="24"/>
                <w:lang w:val="en-US" w:eastAsia="zh-CN"/>
              </w:rPr>
              <w:t>中国邮政速递物流股份有限公司</w:t>
            </w:r>
          </w:p>
        </w:tc>
        <w:tc>
          <w:tcPr>
            <w:tcW w:w="1076" w:type="dxa"/>
            <w:vAlign w:val="center"/>
          </w:tcPr>
          <w:p>
            <w:pPr>
              <w:keepNext w:val="0"/>
              <w:keepLines w:val="0"/>
              <w:pageBreakBefore w:val="0"/>
              <w:widowControl w:val="0"/>
              <w:kinsoku/>
              <w:wordWrap/>
              <w:overflowPunct/>
              <w:topLinePunct w:val="0"/>
              <w:autoSpaceDE/>
              <w:autoSpaceDN/>
              <w:bidi w:val="0"/>
              <w:adjustRightInd/>
              <w:snapToGrid/>
              <w:spacing w:line="240" w:lineRule="atLeast"/>
              <w:ind w:right="0" w:firstLine="0" w:firstLineChars="0"/>
              <w:jc w:val="left"/>
              <w:textAlignment w:val="auto"/>
              <w:outlineLvl w:val="9"/>
              <w:rPr>
                <w:rFonts w:hint="eastAsia" w:ascii="仿宋" w:hAnsi="仿宋" w:eastAsia="仿宋"/>
                <w:sz w:val="24"/>
                <w:szCs w:val="24"/>
                <w:lang w:val="en-US" w:eastAsia="zh-CN"/>
              </w:rPr>
            </w:pPr>
            <w:r>
              <w:rPr>
                <w:rFonts w:hint="eastAsia" w:ascii="仿宋" w:hAnsi="仿宋"/>
                <w:sz w:val="24"/>
                <w:szCs w:val="24"/>
                <w:lang w:val="en-US" w:eastAsia="zh-CN"/>
              </w:rPr>
              <w:t>郭锐</w:t>
            </w:r>
          </w:p>
        </w:tc>
        <w:tc>
          <w:tcPr>
            <w:tcW w:w="5913" w:type="dxa"/>
            <w:vAlign w:val="center"/>
          </w:tcPr>
          <w:p>
            <w:pPr>
              <w:keepNext w:val="0"/>
              <w:keepLines w:val="0"/>
              <w:pageBreakBefore w:val="0"/>
              <w:widowControl w:val="0"/>
              <w:kinsoku/>
              <w:wordWrap/>
              <w:overflowPunct/>
              <w:topLinePunct w:val="0"/>
              <w:autoSpaceDE/>
              <w:autoSpaceDN/>
              <w:bidi w:val="0"/>
              <w:adjustRightInd/>
              <w:snapToGrid/>
              <w:spacing w:line="240" w:lineRule="atLeast"/>
              <w:ind w:right="0" w:firstLine="0" w:firstLineChars="0"/>
              <w:jc w:val="left"/>
              <w:textAlignment w:val="auto"/>
              <w:outlineLvl w:val="9"/>
              <w:rPr>
                <w:rFonts w:hint="eastAsia" w:ascii="仿宋" w:hAnsi="仿宋" w:cs="Times New Roman"/>
                <w:sz w:val="24"/>
                <w:szCs w:val="24"/>
                <w:lang w:val="en-US" w:eastAsia="zh-CN"/>
              </w:rPr>
            </w:pPr>
            <w:r>
              <w:rPr>
                <w:rFonts w:hint="eastAsia" w:ascii="仿宋" w:hAnsi="仿宋" w:cs="Times New Roman"/>
                <w:sz w:val="24"/>
                <w:szCs w:val="24"/>
                <w:lang w:val="en-US" w:eastAsia="zh-CN"/>
              </w:rPr>
              <w:t>1.</w:t>
            </w:r>
            <w:r>
              <w:rPr>
                <w:rFonts w:ascii="仿宋" w:hAnsi="仿宋" w:eastAsia="仿宋" w:cs="Times New Roman"/>
                <w:sz w:val="24"/>
                <w:szCs w:val="24"/>
              </w:rPr>
              <w:t>贵重物品寄递</w:t>
            </w:r>
            <w:r>
              <w:rPr>
                <w:rFonts w:hint="eastAsia" w:ascii="仿宋" w:hAnsi="仿宋" w:cs="Times New Roman"/>
                <w:sz w:val="24"/>
                <w:szCs w:val="24"/>
                <w:lang w:val="en-US" w:eastAsia="zh-CN"/>
              </w:rPr>
              <w:t>的手机、分拣封发、运输、投递等环节的操作要求及相关规定；</w:t>
            </w:r>
          </w:p>
          <w:p>
            <w:pPr>
              <w:keepNext w:val="0"/>
              <w:keepLines w:val="0"/>
              <w:pageBreakBefore w:val="0"/>
              <w:widowControl w:val="0"/>
              <w:kinsoku/>
              <w:wordWrap/>
              <w:overflowPunct/>
              <w:topLinePunct w:val="0"/>
              <w:autoSpaceDE/>
              <w:autoSpaceDN/>
              <w:bidi w:val="0"/>
              <w:adjustRightInd/>
              <w:snapToGrid/>
              <w:spacing w:line="240" w:lineRule="atLeast"/>
              <w:ind w:right="0" w:firstLine="0" w:firstLineChars="0"/>
              <w:jc w:val="left"/>
              <w:textAlignment w:val="auto"/>
              <w:outlineLvl w:val="9"/>
              <w:rPr>
                <w:rFonts w:hint="eastAsia" w:ascii="仿宋" w:hAnsi="仿宋" w:cs="Times New Roman"/>
                <w:sz w:val="24"/>
                <w:szCs w:val="24"/>
                <w:lang w:val="en-US" w:eastAsia="zh-CN"/>
              </w:rPr>
            </w:pPr>
            <w:r>
              <w:rPr>
                <w:rFonts w:hint="eastAsia" w:ascii="仿宋" w:hAnsi="仿宋" w:cs="Times New Roman"/>
                <w:sz w:val="24"/>
                <w:szCs w:val="24"/>
                <w:lang w:val="en-US" w:eastAsia="zh-CN"/>
              </w:rPr>
              <w:t>2.保障服务质量的相关管理规定；</w:t>
            </w:r>
          </w:p>
          <w:p>
            <w:pPr>
              <w:keepNext w:val="0"/>
              <w:keepLines w:val="0"/>
              <w:pageBreakBefore w:val="0"/>
              <w:widowControl w:val="0"/>
              <w:kinsoku/>
              <w:wordWrap/>
              <w:overflowPunct/>
              <w:topLinePunct w:val="0"/>
              <w:autoSpaceDE/>
              <w:autoSpaceDN/>
              <w:bidi w:val="0"/>
              <w:adjustRightInd/>
              <w:snapToGrid/>
              <w:spacing w:line="240" w:lineRule="atLeast"/>
              <w:ind w:right="0" w:firstLine="0" w:firstLineChars="0"/>
              <w:jc w:val="left"/>
              <w:textAlignment w:val="auto"/>
              <w:outlineLvl w:val="9"/>
              <w:rPr>
                <w:rFonts w:hint="eastAsia" w:ascii="仿宋" w:hAnsi="仿宋" w:cs="Times New Roman"/>
                <w:sz w:val="24"/>
                <w:szCs w:val="24"/>
                <w:lang w:val="en-US" w:eastAsia="zh-CN"/>
              </w:rPr>
            </w:pPr>
            <w:r>
              <w:rPr>
                <w:rFonts w:hint="eastAsia" w:ascii="仿宋" w:hAnsi="仿宋" w:cs="Times New Roman"/>
                <w:sz w:val="24"/>
                <w:szCs w:val="24"/>
                <w:lang w:val="en-US" w:eastAsia="zh-CN"/>
              </w:rPr>
              <w:t>3.相关业务单据、表格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37" w:type="dxa"/>
            <w:vAlign w:val="center"/>
          </w:tcPr>
          <w:p>
            <w:pPr>
              <w:keepNext w:val="0"/>
              <w:keepLines w:val="0"/>
              <w:pageBreakBefore w:val="0"/>
              <w:widowControl w:val="0"/>
              <w:kinsoku/>
              <w:wordWrap/>
              <w:overflowPunct/>
              <w:topLinePunct w:val="0"/>
              <w:autoSpaceDE/>
              <w:autoSpaceDN/>
              <w:bidi w:val="0"/>
              <w:adjustRightInd/>
              <w:snapToGrid/>
              <w:spacing w:line="240" w:lineRule="atLeast"/>
              <w:ind w:right="0" w:firstLine="0" w:firstLineChars="0"/>
              <w:jc w:val="left"/>
              <w:textAlignment w:val="auto"/>
              <w:outlineLvl w:val="9"/>
              <w:rPr>
                <w:rFonts w:ascii="仿宋" w:hAnsi="仿宋" w:eastAsia="仿宋"/>
                <w:sz w:val="24"/>
                <w:szCs w:val="24"/>
              </w:rPr>
            </w:pPr>
            <w:r>
              <w:rPr>
                <w:rFonts w:hint="eastAsia" w:ascii="仿宋" w:hAnsi="仿宋" w:eastAsia="仿宋"/>
                <w:sz w:val="24"/>
                <w:szCs w:val="24"/>
              </w:rPr>
              <w:t>中通快递股份有限公司</w:t>
            </w:r>
          </w:p>
        </w:tc>
        <w:tc>
          <w:tcPr>
            <w:tcW w:w="1076" w:type="dxa"/>
            <w:vAlign w:val="center"/>
          </w:tcPr>
          <w:p>
            <w:pPr>
              <w:keepNext w:val="0"/>
              <w:keepLines w:val="0"/>
              <w:pageBreakBefore w:val="0"/>
              <w:widowControl w:val="0"/>
              <w:kinsoku/>
              <w:wordWrap/>
              <w:overflowPunct/>
              <w:topLinePunct w:val="0"/>
              <w:autoSpaceDE/>
              <w:autoSpaceDN/>
              <w:bidi w:val="0"/>
              <w:adjustRightInd/>
              <w:snapToGrid/>
              <w:spacing w:line="240" w:lineRule="atLeast"/>
              <w:ind w:right="0" w:firstLine="0" w:firstLineChars="0"/>
              <w:jc w:val="left"/>
              <w:textAlignment w:val="auto"/>
              <w:outlineLvl w:val="9"/>
              <w:rPr>
                <w:rFonts w:ascii="仿宋" w:hAnsi="仿宋" w:eastAsia="仿宋"/>
                <w:sz w:val="24"/>
                <w:szCs w:val="24"/>
              </w:rPr>
            </w:pPr>
            <w:r>
              <w:rPr>
                <w:rFonts w:hint="eastAsia" w:ascii="仿宋" w:hAnsi="仿宋" w:eastAsia="仿宋"/>
                <w:sz w:val="24"/>
                <w:szCs w:val="24"/>
              </w:rPr>
              <w:t>谢孟云</w:t>
            </w:r>
          </w:p>
          <w:p>
            <w:pPr>
              <w:keepNext w:val="0"/>
              <w:keepLines w:val="0"/>
              <w:pageBreakBefore w:val="0"/>
              <w:widowControl w:val="0"/>
              <w:kinsoku/>
              <w:wordWrap/>
              <w:overflowPunct/>
              <w:topLinePunct w:val="0"/>
              <w:autoSpaceDE/>
              <w:autoSpaceDN/>
              <w:bidi w:val="0"/>
              <w:adjustRightInd/>
              <w:snapToGrid/>
              <w:spacing w:line="240" w:lineRule="atLeast"/>
              <w:ind w:right="0" w:firstLine="0" w:firstLineChars="0"/>
              <w:jc w:val="left"/>
              <w:textAlignment w:val="auto"/>
              <w:outlineLvl w:val="9"/>
              <w:rPr>
                <w:rFonts w:hint="eastAsia" w:ascii="仿宋" w:hAnsi="仿宋" w:eastAsia="仿宋" w:cs="宋体"/>
                <w:sz w:val="24"/>
                <w:szCs w:val="24"/>
              </w:rPr>
            </w:pPr>
            <w:r>
              <w:rPr>
                <w:rFonts w:hint="eastAsia" w:ascii="仿宋" w:hAnsi="仿宋" w:eastAsia="仿宋" w:cs="宋体"/>
                <w:sz w:val="24"/>
                <w:szCs w:val="24"/>
              </w:rPr>
              <w:t>闵丹丹</w:t>
            </w:r>
          </w:p>
          <w:p>
            <w:pPr>
              <w:keepNext w:val="0"/>
              <w:keepLines w:val="0"/>
              <w:pageBreakBefore w:val="0"/>
              <w:widowControl w:val="0"/>
              <w:kinsoku/>
              <w:wordWrap/>
              <w:overflowPunct/>
              <w:topLinePunct w:val="0"/>
              <w:autoSpaceDE/>
              <w:autoSpaceDN/>
              <w:bidi w:val="0"/>
              <w:adjustRightInd/>
              <w:snapToGrid/>
              <w:spacing w:line="240" w:lineRule="atLeast"/>
              <w:ind w:right="0" w:firstLine="0" w:firstLineChars="0"/>
              <w:jc w:val="left"/>
              <w:textAlignment w:val="auto"/>
              <w:outlineLvl w:val="9"/>
              <w:rPr>
                <w:rFonts w:hint="eastAsia" w:ascii="仿宋" w:hAnsi="仿宋" w:eastAsia="仿宋" w:cs="宋体"/>
                <w:sz w:val="24"/>
                <w:szCs w:val="24"/>
              </w:rPr>
            </w:pPr>
            <w:r>
              <w:rPr>
                <w:rFonts w:hint="eastAsia" w:ascii="仿宋" w:hAnsi="仿宋" w:eastAsia="仿宋"/>
                <w:sz w:val="24"/>
                <w:szCs w:val="24"/>
                <w:lang w:val="en-US" w:eastAsia="zh-CN"/>
              </w:rPr>
              <w:t>季静</w:t>
            </w:r>
          </w:p>
        </w:tc>
        <w:tc>
          <w:tcPr>
            <w:tcW w:w="5913" w:type="dxa"/>
            <w:vAlign w:val="center"/>
          </w:tcPr>
          <w:p>
            <w:pPr>
              <w:keepNext w:val="0"/>
              <w:keepLines w:val="0"/>
              <w:pageBreakBefore w:val="0"/>
              <w:widowControl w:val="0"/>
              <w:kinsoku/>
              <w:wordWrap/>
              <w:overflowPunct/>
              <w:topLinePunct w:val="0"/>
              <w:autoSpaceDE/>
              <w:autoSpaceDN/>
              <w:bidi w:val="0"/>
              <w:adjustRightInd/>
              <w:snapToGrid/>
              <w:spacing w:line="240" w:lineRule="atLeast"/>
              <w:ind w:right="0" w:firstLine="0" w:firstLineChars="0"/>
              <w:jc w:val="left"/>
              <w:textAlignment w:val="auto"/>
              <w:outlineLvl w:val="9"/>
              <w:rPr>
                <w:rFonts w:ascii="仿宋" w:hAnsi="仿宋" w:eastAsia="仿宋"/>
                <w:sz w:val="24"/>
                <w:szCs w:val="24"/>
              </w:rPr>
            </w:pPr>
            <w:r>
              <w:rPr>
                <w:rFonts w:hint="eastAsia" w:ascii="仿宋" w:hAnsi="仿宋" w:eastAsia="仿宋"/>
                <w:sz w:val="24"/>
                <w:szCs w:val="24"/>
              </w:rPr>
              <w:t>1</w:t>
            </w:r>
            <w:r>
              <w:rPr>
                <w:rFonts w:ascii="仿宋" w:hAnsi="仿宋" w:eastAsia="仿宋"/>
                <w:sz w:val="24"/>
                <w:szCs w:val="24"/>
              </w:rPr>
              <w:t>.</w:t>
            </w:r>
            <w:r>
              <w:rPr>
                <w:rFonts w:hint="eastAsia" w:ascii="仿宋" w:hAnsi="仿宋" w:eastAsia="仿宋"/>
                <w:sz w:val="24"/>
                <w:szCs w:val="24"/>
              </w:rPr>
              <w:t>保障贵重物品在寄递过程中妥善运输。</w:t>
            </w:r>
          </w:p>
          <w:p>
            <w:pPr>
              <w:keepNext w:val="0"/>
              <w:keepLines w:val="0"/>
              <w:pageBreakBefore w:val="0"/>
              <w:widowControl w:val="0"/>
              <w:kinsoku/>
              <w:wordWrap/>
              <w:overflowPunct/>
              <w:topLinePunct w:val="0"/>
              <w:autoSpaceDE/>
              <w:autoSpaceDN/>
              <w:bidi w:val="0"/>
              <w:adjustRightInd/>
              <w:snapToGrid/>
              <w:spacing w:line="240" w:lineRule="atLeast"/>
              <w:ind w:right="0" w:firstLine="0" w:firstLineChars="0"/>
              <w:jc w:val="left"/>
              <w:textAlignment w:val="auto"/>
              <w:outlineLvl w:val="9"/>
              <w:rPr>
                <w:rFonts w:ascii="仿宋" w:hAnsi="仿宋" w:eastAsia="仿宋"/>
                <w:sz w:val="24"/>
                <w:szCs w:val="24"/>
              </w:rPr>
            </w:pPr>
            <w:r>
              <w:rPr>
                <w:rFonts w:hint="eastAsia" w:ascii="仿宋" w:hAnsi="仿宋" w:eastAsia="仿宋"/>
                <w:sz w:val="24"/>
                <w:szCs w:val="24"/>
              </w:rPr>
              <w:t>2</w:t>
            </w:r>
            <w:r>
              <w:rPr>
                <w:rFonts w:ascii="仿宋" w:hAnsi="仿宋" w:eastAsia="仿宋"/>
                <w:sz w:val="24"/>
                <w:szCs w:val="24"/>
              </w:rPr>
              <w:t>.</w:t>
            </w:r>
            <w:r>
              <w:rPr>
                <w:rFonts w:hint="eastAsia" w:ascii="仿宋" w:hAnsi="仿宋" w:eastAsia="仿宋"/>
                <w:sz w:val="24"/>
                <w:szCs w:val="24"/>
              </w:rPr>
              <w:t>保障贵重物品寄递服务的规范性及全链路的安全性，提供更优质的服务，流程规范化，保证客户体验感。</w:t>
            </w:r>
          </w:p>
        </w:tc>
      </w:tr>
    </w:tbl>
    <w:p>
      <w:pPr>
        <w:outlineLvl w:val="0"/>
        <w:rPr>
          <w:rFonts w:ascii="黑体" w:hAnsi="黑体" w:eastAsia="黑体"/>
          <w:sz w:val="32"/>
          <w:szCs w:val="32"/>
        </w:rPr>
      </w:pPr>
      <w:r>
        <w:rPr>
          <w:rFonts w:hint="eastAsia" w:ascii="黑体" w:hAnsi="黑体" w:eastAsia="黑体"/>
          <w:sz w:val="32"/>
          <w:szCs w:val="32"/>
        </w:rPr>
        <w:t>二、制定标准的必要性和意义</w:t>
      </w:r>
    </w:p>
    <w:p>
      <w:pPr>
        <w:ind w:firstLine="640" w:firstLineChars="200"/>
        <w:rPr>
          <w:rFonts w:ascii="仿宋" w:hAnsi="仿宋" w:eastAsia="仿宋"/>
          <w:sz w:val="32"/>
          <w:szCs w:val="32"/>
        </w:rPr>
      </w:pPr>
      <w:r>
        <w:rPr>
          <w:rFonts w:ascii="仿宋" w:hAnsi="仿宋" w:eastAsia="仿宋"/>
          <w:sz w:val="32"/>
          <w:szCs w:val="32"/>
        </w:rPr>
        <w:t>贵重物品寄递服务是一个高端市场，近年来，市场需求不断增长。但贵重物品寄递市场发展过程中，出现了许多因丢失、损坏造成赔偿纠纷、寄递过程操作缺乏统一规范等问题</w:t>
      </w:r>
      <w:r>
        <w:rPr>
          <w:rFonts w:hint="eastAsia" w:ascii="仿宋" w:hAnsi="仿宋"/>
          <w:sz w:val="32"/>
          <w:szCs w:val="32"/>
          <w:lang w:eastAsia="zh-CN"/>
        </w:rPr>
        <w:t>。</w:t>
      </w:r>
      <w:r>
        <w:rPr>
          <w:rFonts w:ascii="仿宋" w:hAnsi="仿宋" w:eastAsia="仿宋"/>
          <w:sz w:val="32"/>
          <w:szCs w:val="32"/>
        </w:rPr>
        <w:t>为保护消费者权益和相关快递公司的正当利益，提升贵重物品寄递服务的质量，促进贵重物品寄递业务的高质量发展，有必要制定统一的贵重物品寄递服务标准，对贵重物品的范围、寄递收、拣、运、投生产作业的特殊处理，</w:t>
      </w:r>
      <w:r>
        <w:rPr>
          <w:rFonts w:hint="eastAsia" w:ascii="仿宋" w:hAnsi="仿宋" w:eastAsia="仿宋"/>
          <w:sz w:val="32"/>
          <w:szCs w:val="32"/>
        </w:rPr>
        <w:t>以及</w:t>
      </w:r>
      <w:r>
        <w:rPr>
          <w:rFonts w:ascii="仿宋" w:hAnsi="仿宋" w:eastAsia="仿宋"/>
          <w:sz w:val="32"/>
          <w:szCs w:val="32"/>
        </w:rPr>
        <w:t>相关方寄递过程中的义务和责任等方面进行规定明晰。通过这一标准，为贵重物品</w:t>
      </w:r>
      <w:r>
        <w:rPr>
          <w:rFonts w:hint="eastAsia" w:ascii="仿宋" w:hAnsi="仿宋" w:eastAsia="仿宋"/>
          <w:sz w:val="32"/>
          <w:szCs w:val="32"/>
          <w:lang w:val="en-US" w:eastAsia="zh-CN"/>
        </w:rPr>
        <w:t>快递</w:t>
      </w:r>
      <w:r>
        <w:rPr>
          <w:rFonts w:ascii="仿宋" w:hAnsi="仿宋" w:eastAsia="仿宋"/>
          <w:sz w:val="32"/>
          <w:szCs w:val="32"/>
        </w:rPr>
        <w:t>服务</w:t>
      </w:r>
      <w:r>
        <w:rPr>
          <w:rFonts w:hint="eastAsia" w:ascii="仿宋" w:hAnsi="仿宋" w:eastAsia="仿宋"/>
          <w:sz w:val="32"/>
          <w:szCs w:val="32"/>
          <w:lang w:val="en-US" w:eastAsia="zh-CN"/>
        </w:rPr>
        <w:t>组织</w:t>
      </w:r>
      <w:r>
        <w:rPr>
          <w:rFonts w:ascii="仿宋" w:hAnsi="仿宋" w:eastAsia="仿宋"/>
          <w:sz w:val="32"/>
          <w:szCs w:val="32"/>
        </w:rPr>
        <w:t>提供寄递过程生产作业的规范指导，也为在出现损坏或丢失后，</w:t>
      </w:r>
      <w:r>
        <w:rPr>
          <w:rFonts w:hint="eastAsia" w:ascii="仿宋" w:hAnsi="仿宋"/>
          <w:sz w:val="32"/>
          <w:szCs w:val="32"/>
          <w:lang w:val="en-US" w:eastAsia="zh-CN"/>
        </w:rPr>
        <w:t>顾客</w:t>
      </w:r>
      <w:r>
        <w:rPr>
          <w:rFonts w:ascii="仿宋" w:hAnsi="仿宋" w:eastAsia="仿宋"/>
          <w:sz w:val="32"/>
          <w:szCs w:val="32"/>
        </w:rPr>
        <w:t>有</w:t>
      </w:r>
      <w:r>
        <w:rPr>
          <w:rFonts w:hint="eastAsia" w:ascii="仿宋" w:hAnsi="仿宋"/>
          <w:sz w:val="32"/>
          <w:szCs w:val="32"/>
          <w:lang w:val="en-US" w:eastAsia="zh-CN"/>
        </w:rPr>
        <w:t>相应</w:t>
      </w:r>
      <w:r>
        <w:rPr>
          <w:rFonts w:ascii="仿宋" w:hAnsi="仿宋" w:eastAsia="仿宋"/>
          <w:sz w:val="32"/>
          <w:szCs w:val="32"/>
        </w:rPr>
        <w:t>合理赔偿，提升</w:t>
      </w:r>
      <w:r>
        <w:rPr>
          <w:rFonts w:hint="eastAsia" w:ascii="仿宋" w:hAnsi="仿宋"/>
          <w:sz w:val="32"/>
          <w:szCs w:val="32"/>
          <w:lang w:val="en-US" w:eastAsia="zh-CN"/>
        </w:rPr>
        <w:t>客户</w:t>
      </w:r>
      <w:r>
        <w:rPr>
          <w:rFonts w:ascii="仿宋" w:hAnsi="仿宋" w:eastAsia="仿宋"/>
          <w:sz w:val="32"/>
          <w:szCs w:val="32"/>
        </w:rPr>
        <w:t>满意度，促进贵重物品寄递市场健康发展。</w:t>
      </w:r>
    </w:p>
    <w:p>
      <w:pPr>
        <w:outlineLvl w:val="0"/>
        <w:rPr>
          <w:rFonts w:ascii="黑体" w:hAnsi="黑体" w:eastAsia="黑体"/>
          <w:sz w:val="32"/>
          <w:szCs w:val="32"/>
        </w:rPr>
      </w:pPr>
      <w:r>
        <w:rPr>
          <w:rFonts w:hint="eastAsia" w:ascii="黑体" w:hAnsi="黑体" w:eastAsia="黑体"/>
          <w:sz w:val="32"/>
          <w:szCs w:val="32"/>
        </w:rPr>
        <w:t>三、主要起草过程</w:t>
      </w:r>
    </w:p>
    <w:p>
      <w:pPr>
        <w:ind w:firstLine="640" w:firstLineChars="200"/>
        <w:rPr>
          <w:rFonts w:ascii="仿宋" w:hAnsi="仿宋" w:eastAsia="仿宋"/>
          <w:sz w:val="32"/>
          <w:szCs w:val="32"/>
        </w:rPr>
      </w:pPr>
      <w:r>
        <w:rPr>
          <w:rFonts w:hint="eastAsia" w:ascii="楷体" w:hAnsi="楷体" w:eastAsia="楷体"/>
          <w:sz w:val="32"/>
          <w:szCs w:val="32"/>
        </w:rPr>
        <w:t>（一）</w:t>
      </w:r>
      <w:r>
        <w:rPr>
          <w:rFonts w:ascii="仿宋" w:hAnsi="仿宋" w:eastAsia="仿宋"/>
          <w:b/>
          <w:bCs/>
          <w:sz w:val="32"/>
          <w:szCs w:val="32"/>
        </w:rPr>
        <w:t>2021年11月-2022年</w:t>
      </w:r>
      <w:r>
        <w:rPr>
          <w:rFonts w:hint="eastAsia" w:ascii="仿宋" w:hAnsi="仿宋" w:eastAsia="仿宋"/>
          <w:b/>
          <w:bCs/>
          <w:sz w:val="32"/>
          <w:szCs w:val="32"/>
          <w:lang w:val="en-US" w:eastAsia="zh-CN"/>
        </w:rPr>
        <w:t>4</w:t>
      </w:r>
      <w:r>
        <w:rPr>
          <w:rFonts w:ascii="仿宋" w:hAnsi="仿宋" w:eastAsia="仿宋"/>
          <w:b/>
          <w:bCs/>
          <w:sz w:val="32"/>
          <w:szCs w:val="32"/>
        </w:rPr>
        <w:t>月</w:t>
      </w:r>
    </w:p>
    <w:p>
      <w:pPr>
        <w:ind w:firstLine="640" w:firstLineChars="200"/>
        <w:rPr>
          <w:rFonts w:hint="eastAsia" w:ascii="仿宋" w:hAnsi="仿宋"/>
          <w:sz w:val="32"/>
          <w:szCs w:val="32"/>
          <w:lang w:val="en-US" w:eastAsia="zh-CN"/>
        </w:rPr>
      </w:pPr>
      <w:r>
        <w:rPr>
          <w:rFonts w:hint="eastAsia" w:ascii="仿宋" w:hAnsi="仿宋" w:eastAsia="仿宋"/>
          <w:sz w:val="32"/>
          <w:szCs w:val="32"/>
        </w:rPr>
        <w:t>收集查询相关标准资料，对试点企业走访调研、专家访谈，撰写征求意见稿；</w:t>
      </w:r>
      <w:r>
        <w:rPr>
          <w:rFonts w:hint="eastAsia" w:ascii="仿宋" w:hAnsi="仿宋"/>
          <w:sz w:val="32"/>
          <w:szCs w:val="32"/>
          <w:lang w:val="en-US" w:eastAsia="zh-CN"/>
        </w:rPr>
        <w:t>召开专家预审会，收集专家意见，根据专家意见进行修改和完善。</w:t>
      </w:r>
    </w:p>
    <w:p>
      <w:pPr>
        <w:ind w:firstLine="640" w:firstLineChars="200"/>
        <w:rPr>
          <w:rFonts w:hint="eastAsia" w:ascii="仿宋" w:hAnsi="仿宋"/>
          <w:sz w:val="32"/>
          <w:szCs w:val="32"/>
          <w:lang w:val="en-US" w:eastAsia="zh-CN"/>
        </w:rPr>
      </w:pPr>
      <w:r>
        <w:rPr>
          <w:rFonts w:hint="eastAsia" w:ascii="仿宋" w:hAnsi="仿宋"/>
          <w:sz w:val="32"/>
          <w:szCs w:val="32"/>
          <w:lang w:val="en-US" w:eastAsia="zh-CN"/>
        </w:rPr>
        <w:t>2022年4月26日通过预审会，会后按专家所提意见进行了修改</w:t>
      </w:r>
      <w:bookmarkStart w:id="0" w:name="_GoBack"/>
      <w:bookmarkEnd w:id="0"/>
      <w:r>
        <w:rPr>
          <w:rFonts w:hint="eastAsia" w:ascii="仿宋" w:hAnsi="仿宋"/>
          <w:sz w:val="32"/>
          <w:szCs w:val="32"/>
          <w:lang w:val="en-US" w:eastAsia="zh-CN"/>
        </w:rPr>
        <w:t>。</w:t>
      </w:r>
    </w:p>
    <w:p>
      <w:pPr>
        <w:ind w:firstLine="643" w:firstLineChars="200"/>
        <w:rPr>
          <w:rFonts w:hint="default" w:ascii="仿宋" w:hAnsi="仿宋" w:eastAsia="仿宋"/>
          <w:b/>
          <w:bCs/>
          <w:sz w:val="32"/>
          <w:szCs w:val="32"/>
          <w:lang w:val="en-US" w:eastAsia="zh-CN"/>
        </w:rPr>
      </w:pPr>
      <w:r>
        <w:rPr>
          <w:rFonts w:hint="eastAsia" w:ascii="仿宋" w:hAnsi="仿宋" w:eastAsia="仿宋"/>
          <w:b/>
          <w:bCs/>
          <w:sz w:val="32"/>
          <w:szCs w:val="32"/>
          <w:lang w:val="en-US" w:eastAsia="zh-CN"/>
        </w:rPr>
        <w:t>专家预审会意见汇总：</w:t>
      </w:r>
    </w:p>
    <w:p>
      <w:pPr>
        <w:rPr>
          <w:rFonts w:hint="eastAsia"/>
          <w:lang w:val="en-US" w:eastAsia="zh-CN"/>
        </w:rPr>
      </w:pPr>
      <w:r>
        <w:rPr>
          <w:rFonts w:hint="eastAsia"/>
          <w:lang w:val="en-US" w:eastAsia="zh-CN"/>
        </w:rPr>
        <w:t>1.规范性引用文件部分建议删除国标10757，后边没用到。</w:t>
      </w:r>
    </w:p>
    <w:p>
      <w:pPr>
        <w:rPr>
          <w:rFonts w:hint="eastAsia"/>
          <w:lang w:val="en-US" w:eastAsia="zh-CN"/>
        </w:rPr>
      </w:pPr>
      <w:r>
        <w:rPr>
          <w:rFonts w:hint="eastAsia"/>
          <w:lang w:val="en-US" w:eastAsia="zh-CN"/>
        </w:rPr>
        <w:t>2.快递服务组织和5.2开办范围应增加应事先告知用户。</w:t>
      </w:r>
    </w:p>
    <w:p>
      <w:pPr>
        <w:rPr>
          <w:rFonts w:hint="eastAsia"/>
          <w:lang w:val="en-US" w:eastAsia="zh-CN"/>
        </w:rPr>
      </w:pPr>
      <w:r>
        <w:rPr>
          <w:rFonts w:hint="eastAsia"/>
          <w:lang w:val="en-US" w:eastAsia="zh-CN"/>
        </w:rPr>
        <w:t>3.标准里很难提到行业法律法规，不太妥当，可以放到参考文献。</w:t>
      </w:r>
    </w:p>
    <w:p>
      <w:pPr>
        <w:rPr>
          <w:rFonts w:hint="default"/>
          <w:lang w:val="en-US" w:eastAsia="zh-CN"/>
        </w:rPr>
      </w:pPr>
      <w:r>
        <w:rPr>
          <w:rFonts w:hint="eastAsia"/>
          <w:lang w:val="en-US" w:eastAsia="zh-CN"/>
        </w:rPr>
        <w:t>4.</w:t>
      </w:r>
      <w:r>
        <w:rPr>
          <w:rFonts w:hint="default"/>
          <w:lang w:val="en-US" w:eastAsia="zh-CN"/>
        </w:rPr>
        <w:t>顾客沟通和沟通重复，该部分沟通渠道不是很明确。</w:t>
      </w:r>
    </w:p>
    <w:p>
      <w:pPr>
        <w:rPr>
          <w:rFonts w:hint="eastAsia"/>
          <w:lang w:val="en-US" w:eastAsia="zh-CN"/>
        </w:rPr>
      </w:pPr>
      <w:r>
        <w:rPr>
          <w:rFonts w:hint="eastAsia"/>
          <w:lang w:val="en-US" w:eastAsia="zh-CN"/>
        </w:rPr>
        <w:t>5.</w:t>
      </w:r>
      <w:r>
        <w:rPr>
          <w:rFonts w:hint="default"/>
          <w:lang w:val="en-US" w:eastAsia="zh-CN"/>
        </w:rPr>
        <w:t>内部沟通是否有必要</w:t>
      </w:r>
      <w:r>
        <w:rPr>
          <w:rFonts w:hint="eastAsia"/>
          <w:lang w:val="en-US" w:eastAsia="zh-CN"/>
        </w:rPr>
        <w:t>。</w:t>
      </w:r>
      <w:r>
        <w:rPr>
          <w:rFonts w:hint="default"/>
          <w:lang w:val="en-US" w:eastAsia="zh-CN"/>
        </w:rPr>
        <w:t>兄弟单位组织活动</w:t>
      </w:r>
      <w:r>
        <w:rPr>
          <w:rFonts w:hint="eastAsia"/>
          <w:lang w:val="en-US" w:eastAsia="zh-CN"/>
        </w:rPr>
        <w:t>。</w:t>
      </w:r>
    </w:p>
    <w:p>
      <w:pPr>
        <w:rPr>
          <w:rFonts w:hint="default"/>
          <w:lang w:val="en-US" w:eastAsia="zh-CN"/>
        </w:rPr>
      </w:pPr>
      <w:r>
        <w:rPr>
          <w:rFonts w:hint="eastAsia"/>
          <w:lang w:val="en-US" w:eastAsia="zh-CN"/>
        </w:rPr>
        <w:t>6.</w:t>
      </w:r>
      <w:r>
        <w:rPr>
          <w:rFonts w:hint="default"/>
          <w:lang w:val="en-US" w:eastAsia="zh-CN"/>
        </w:rPr>
        <w:t>确认现在使用详情单，建议增加贵品使用易撕防盗标签，打开留痕。</w:t>
      </w:r>
    </w:p>
    <w:p>
      <w:pPr>
        <w:rPr>
          <w:rFonts w:hint="default" w:ascii="仿宋" w:hAnsi="仿宋"/>
          <w:sz w:val="32"/>
          <w:szCs w:val="32"/>
          <w:lang w:val="en-US" w:eastAsia="zh-CN"/>
        </w:rPr>
      </w:pPr>
      <w:r>
        <w:rPr>
          <w:rFonts w:hint="eastAsia"/>
          <w:lang w:val="en-US" w:eastAsia="zh-CN"/>
        </w:rPr>
        <w:t>7.</w:t>
      </w:r>
      <w:r>
        <w:rPr>
          <w:rFonts w:hint="default"/>
          <w:lang w:val="en-US" w:eastAsia="zh-CN"/>
        </w:rPr>
        <w:t>无实际内容</w:t>
      </w:r>
      <w:r>
        <w:rPr>
          <w:rFonts w:hint="eastAsia"/>
          <w:lang w:val="en-US" w:eastAsia="zh-CN"/>
        </w:rPr>
        <w:t>，</w:t>
      </w:r>
      <w:r>
        <w:rPr>
          <w:rFonts w:hint="default"/>
          <w:lang w:val="en-US" w:eastAsia="zh-CN"/>
        </w:rPr>
        <w:t>标准不能提出新的标准制定要求。</w:t>
      </w:r>
    </w:p>
    <w:p>
      <w:pPr>
        <w:ind w:firstLine="640" w:firstLineChars="200"/>
        <w:rPr>
          <w:rFonts w:ascii="仿宋" w:hAnsi="仿宋" w:eastAsia="仿宋"/>
          <w:sz w:val="32"/>
          <w:szCs w:val="32"/>
        </w:rPr>
      </w:pPr>
      <w:r>
        <w:rPr>
          <w:rFonts w:hint="eastAsia" w:ascii="楷体" w:hAnsi="楷体" w:eastAsia="楷体"/>
          <w:sz w:val="32"/>
          <w:szCs w:val="32"/>
        </w:rPr>
        <w:t>（</w:t>
      </w:r>
      <w:r>
        <w:rPr>
          <w:rFonts w:hint="eastAsia" w:ascii="楷体" w:hAnsi="楷体" w:eastAsia="楷体"/>
          <w:sz w:val="32"/>
          <w:szCs w:val="32"/>
          <w:lang w:val="en-US" w:eastAsia="zh-CN"/>
        </w:rPr>
        <w:t>二</w:t>
      </w:r>
      <w:r>
        <w:rPr>
          <w:rFonts w:hint="eastAsia" w:ascii="楷体" w:hAnsi="楷体" w:eastAsia="楷体"/>
          <w:sz w:val="32"/>
          <w:szCs w:val="32"/>
        </w:rPr>
        <w:t>）</w:t>
      </w:r>
      <w:r>
        <w:rPr>
          <w:rFonts w:ascii="仿宋" w:hAnsi="仿宋" w:eastAsia="仿宋"/>
          <w:b/>
          <w:bCs/>
          <w:sz w:val="32"/>
          <w:szCs w:val="32"/>
        </w:rPr>
        <w:t>2022年</w:t>
      </w:r>
      <w:r>
        <w:rPr>
          <w:rFonts w:hint="eastAsia" w:ascii="仿宋" w:hAnsi="仿宋" w:eastAsia="仿宋"/>
          <w:b/>
          <w:bCs/>
          <w:sz w:val="32"/>
          <w:szCs w:val="32"/>
          <w:lang w:val="en-US" w:eastAsia="zh-CN"/>
        </w:rPr>
        <w:t>5</w:t>
      </w:r>
      <w:r>
        <w:rPr>
          <w:rFonts w:ascii="仿宋" w:hAnsi="仿宋" w:eastAsia="仿宋"/>
          <w:b/>
          <w:bCs/>
          <w:sz w:val="32"/>
          <w:szCs w:val="32"/>
        </w:rPr>
        <w:t>月-2022年1</w:t>
      </w:r>
      <w:r>
        <w:rPr>
          <w:rFonts w:hint="eastAsia" w:ascii="仿宋" w:hAnsi="仿宋" w:eastAsia="仿宋"/>
          <w:b/>
          <w:bCs/>
          <w:sz w:val="32"/>
          <w:szCs w:val="32"/>
          <w:lang w:val="en-US" w:eastAsia="zh-CN"/>
        </w:rPr>
        <w:t>0</w:t>
      </w:r>
      <w:r>
        <w:rPr>
          <w:rFonts w:ascii="仿宋" w:hAnsi="仿宋" w:eastAsia="仿宋"/>
          <w:b/>
          <w:bCs/>
          <w:sz w:val="32"/>
          <w:szCs w:val="32"/>
        </w:rPr>
        <w:t>月</w:t>
      </w:r>
    </w:p>
    <w:p>
      <w:pPr>
        <w:ind w:firstLine="640" w:firstLineChars="200"/>
        <w:rPr>
          <w:rFonts w:ascii="仿宋" w:hAnsi="仿宋" w:eastAsia="仿宋"/>
          <w:sz w:val="32"/>
          <w:szCs w:val="32"/>
        </w:rPr>
      </w:pPr>
      <w:r>
        <w:rPr>
          <w:rFonts w:hint="eastAsia" w:ascii="仿宋" w:hAnsi="仿宋" w:eastAsia="仿宋"/>
          <w:sz w:val="32"/>
          <w:szCs w:val="32"/>
        </w:rPr>
        <w:t>快递协会、快递企业（开办相关业务的企业）、邮政企业等相关专家征求意见，针对关键问题深入调研、专项研究，形成送审稿；</w:t>
      </w:r>
    </w:p>
    <w:p>
      <w:pPr>
        <w:ind w:firstLine="640" w:firstLineChars="200"/>
        <w:rPr>
          <w:rFonts w:ascii="仿宋" w:hAnsi="仿宋" w:eastAsia="仿宋"/>
          <w:sz w:val="32"/>
          <w:szCs w:val="32"/>
        </w:rPr>
      </w:pPr>
      <w:r>
        <w:rPr>
          <w:rFonts w:hint="eastAsia" w:ascii="楷体" w:hAnsi="楷体" w:eastAsia="楷体"/>
          <w:sz w:val="32"/>
          <w:szCs w:val="32"/>
        </w:rPr>
        <w:t>（</w:t>
      </w:r>
      <w:r>
        <w:rPr>
          <w:rFonts w:hint="eastAsia" w:ascii="楷体" w:hAnsi="楷体" w:eastAsia="楷体"/>
          <w:sz w:val="32"/>
          <w:szCs w:val="32"/>
          <w:lang w:val="en-US" w:eastAsia="zh-CN"/>
        </w:rPr>
        <w:t>三</w:t>
      </w:r>
      <w:r>
        <w:rPr>
          <w:rFonts w:hint="eastAsia" w:ascii="楷体" w:hAnsi="楷体" w:eastAsia="楷体"/>
          <w:sz w:val="32"/>
          <w:szCs w:val="32"/>
        </w:rPr>
        <w:t>）</w:t>
      </w:r>
      <w:r>
        <w:rPr>
          <w:rFonts w:ascii="仿宋" w:hAnsi="仿宋" w:eastAsia="仿宋"/>
          <w:b/>
          <w:bCs/>
          <w:sz w:val="32"/>
          <w:szCs w:val="32"/>
        </w:rPr>
        <w:t>2022年11月</w:t>
      </w:r>
    </w:p>
    <w:p>
      <w:pPr>
        <w:ind w:firstLine="640" w:firstLineChars="200"/>
        <w:rPr>
          <w:rFonts w:ascii="仿宋" w:hAnsi="仿宋" w:eastAsia="仿宋"/>
          <w:sz w:val="32"/>
          <w:szCs w:val="32"/>
        </w:rPr>
      </w:pPr>
      <w:r>
        <w:rPr>
          <w:rFonts w:ascii="仿宋" w:hAnsi="仿宋" w:eastAsia="仿宋"/>
          <w:sz w:val="32"/>
          <w:szCs w:val="32"/>
        </w:rPr>
        <w:t>提交报批稿。</w:t>
      </w:r>
    </w:p>
    <w:p>
      <w:pPr>
        <w:outlineLvl w:val="0"/>
        <w:rPr>
          <w:rFonts w:ascii="黑体" w:hAnsi="黑体" w:eastAsia="黑体"/>
          <w:sz w:val="32"/>
          <w:szCs w:val="32"/>
        </w:rPr>
      </w:pPr>
      <w:r>
        <w:rPr>
          <w:rFonts w:hint="eastAsia" w:ascii="黑体" w:hAnsi="黑体" w:eastAsia="黑体"/>
          <w:sz w:val="32"/>
          <w:szCs w:val="32"/>
        </w:rPr>
        <w:t>四、制定标准的原则和依据，与现行法律、法规、标准的关系</w:t>
      </w:r>
    </w:p>
    <w:p>
      <w:pPr>
        <w:ind w:firstLine="640" w:firstLineChars="200"/>
        <w:rPr>
          <w:rFonts w:ascii="仿宋" w:hAnsi="仿宋" w:eastAsia="仿宋"/>
          <w:sz w:val="32"/>
          <w:szCs w:val="32"/>
        </w:rPr>
      </w:pPr>
      <w:r>
        <w:rPr>
          <w:rFonts w:hint="eastAsia" w:ascii="仿宋" w:hAnsi="仿宋" w:eastAsia="仿宋"/>
          <w:sz w:val="32"/>
          <w:szCs w:val="32"/>
        </w:rPr>
        <w:t>本标准严格遵照</w:t>
      </w:r>
      <w:r>
        <w:rPr>
          <w:rFonts w:ascii="仿宋" w:hAnsi="仿宋" w:eastAsia="仿宋"/>
          <w:sz w:val="32"/>
          <w:szCs w:val="32"/>
        </w:rPr>
        <w:t>GB/T 27917.1-2011《快递服务 第1部分：基本术语》</w:t>
      </w:r>
      <w:r>
        <w:rPr>
          <w:rFonts w:hint="eastAsia" w:ascii="仿宋" w:hAnsi="仿宋" w:eastAsia="仿宋"/>
          <w:sz w:val="32"/>
          <w:szCs w:val="32"/>
        </w:rPr>
        <w:t>、</w:t>
      </w:r>
      <w:r>
        <w:rPr>
          <w:rFonts w:ascii="仿宋" w:hAnsi="仿宋" w:eastAsia="仿宋"/>
          <w:sz w:val="32"/>
          <w:szCs w:val="32"/>
        </w:rPr>
        <w:t>GB/T 27917.2-2011《快递服务 第2部分：组织要求》</w:t>
      </w:r>
      <w:r>
        <w:rPr>
          <w:rFonts w:hint="eastAsia" w:ascii="仿宋" w:hAnsi="仿宋" w:eastAsia="仿宋"/>
          <w:sz w:val="32"/>
          <w:szCs w:val="32"/>
        </w:rPr>
        <w:t>、</w:t>
      </w:r>
      <w:r>
        <w:rPr>
          <w:rFonts w:ascii="仿宋" w:hAnsi="仿宋" w:eastAsia="仿宋"/>
          <w:sz w:val="32"/>
          <w:szCs w:val="32"/>
        </w:rPr>
        <w:t>GB/T 27917.3-2011《快递服务 第3部分：服务环节》</w:t>
      </w:r>
      <w:r>
        <w:rPr>
          <w:rFonts w:hint="eastAsia" w:ascii="仿宋" w:hAnsi="仿宋" w:eastAsia="仿宋"/>
          <w:sz w:val="32"/>
          <w:szCs w:val="32"/>
          <w:lang w:eastAsia="zh-CN"/>
        </w:rPr>
        <w:t>、</w:t>
      </w:r>
      <w:r>
        <w:rPr>
          <w:rFonts w:hint="eastAsia" w:ascii="仿宋" w:hAnsi="仿宋" w:eastAsia="仿宋"/>
          <w:sz w:val="32"/>
          <w:szCs w:val="32"/>
          <w:lang w:val="en-US" w:eastAsia="zh-CN"/>
        </w:rPr>
        <w:t>GB/T 10757《邮政业术语》</w:t>
      </w:r>
      <w:r>
        <w:rPr>
          <w:rFonts w:hint="eastAsia" w:ascii="仿宋" w:hAnsi="仿宋" w:eastAsia="仿宋"/>
          <w:sz w:val="32"/>
          <w:szCs w:val="32"/>
        </w:rPr>
        <w:t>等国家标准要求制定。编制本标准遵循安全性、及时性和准确性的原则，结合贵重物品寄递服务的实际特点进行编制和起草。</w:t>
      </w:r>
    </w:p>
    <w:p>
      <w:pPr>
        <w:outlineLvl w:val="0"/>
        <w:rPr>
          <w:rFonts w:ascii="黑体" w:hAnsi="黑体" w:eastAsia="黑体"/>
          <w:sz w:val="32"/>
          <w:szCs w:val="32"/>
        </w:rPr>
      </w:pPr>
      <w:r>
        <w:rPr>
          <w:rFonts w:hint="eastAsia" w:ascii="黑体" w:hAnsi="黑体" w:eastAsia="黑体"/>
          <w:sz w:val="32"/>
          <w:szCs w:val="32"/>
        </w:rPr>
        <w:t>五、主要条款的说明</w:t>
      </w:r>
    </w:p>
    <w:p>
      <w:pPr>
        <w:ind w:firstLine="640" w:firstLineChars="200"/>
        <w:rPr>
          <w:rFonts w:ascii="仿宋" w:hAnsi="仿宋" w:eastAsia="仿宋"/>
          <w:sz w:val="32"/>
          <w:szCs w:val="32"/>
        </w:rPr>
      </w:pPr>
      <w:r>
        <w:rPr>
          <w:rFonts w:hint="eastAsia" w:ascii="仿宋" w:hAnsi="仿宋" w:eastAsia="仿宋"/>
          <w:sz w:val="32"/>
          <w:szCs w:val="32"/>
        </w:rPr>
        <w:t>本标准适用于贵重物品寄递服务，</w:t>
      </w:r>
      <w:r>
        <w:rPr>
          <w:rFonts w:hint="eastAsia" w:ascii="仿宋" w:hAnsi="仿宋" w:eastAsia="仿宋"/>
          <w:sz w:val="32"/>
          <w:szCs w:val="32"/>
          <w:lang w:val="en-US" w:eastAsia="zh-CN"/>
        </w:rPr>
        <w:t>规定了该服务</w:t>
      </w:r>
      <w:r>
        <w:rPr>
          <w:rFonts w:hint="eastAsia" w:ascii="仿宋" w:hAnsi="仿宋" w:eastAsia="仿宋"/>
          <w:sz w:val="32"/>
          <w:szCs w:val="32"/>
        </w:rPr>
        <w:t>开办范围、资费、揽收范围、沟通</w:t>
      </w:r>
      <w:r>
        <w:rPr>
          <w:rFonts w:hint="eastAsia" w:ascii="仿宋" w:hAnsi="仿宋" w:eastAsia="仿宋"/>
          <w:sz w:val="32"/>
          <w:szCs w:val="32"/>
          <w:lang w:eastAsia="zh-CN"/>
        </w:rPr>
        <w:t>、</w:t>
      </w:r>
      <w:r>
        <w:rPr>
          <w:rFonts w:hint="eastAsia" w:ascii="仿宋" w:hAnsi="仿宋" w:eastAsia="仿宋"/>
          <w:sz w:val="32"/>
          <w:szCs w:val="32"/>
          <w:lang w:val="en-US" w:eastAsia="zh-CN"/>
        </w:rPr>
        <w:t>服务保障等内容，并对收寄</w:t>
      </w:r>
      <w:r>
        <w:rPr>
          <w:rFonts w:hint="eastAsia" w:ascii="仿宋" w:hAnsi="仿宋" w:eastAsia="仿宋"/>
          <w:sz w:val="32"/>
          <w:szCs w:val="32"/>
        </w:rPr>
        <w:t>、投递、追踪与</w:t>
      </w:r>
      <w:r>
        <w:rPr>
          <w:rFonts w:hint="eastAsia" w:ascii="仿宋" w:hAnsi="仿宋" w:eastAsia="仿宋"/>
          <w:sz w:val="32"/>
          <w:szCs w:val="32"/>
          <w:lang w:val="en-US" w:eastAsia="zh-CN"/>
        </w:rPr>
        <w:t>查询</w:t>
      </w:r>
      <w:r>
        <w:rPr>
          <w:rFonts w:hint="eastAsia" w:ascii="仿宋" w:hAnsi="仿宋" w:eastAsia="仿宋"/>
          <w:sz w:val="32"/>
          <w:szCs w:val="32"/>
        </w:rPr>
        <w:t>、例外处理</w:t>
      </w:r>
      <w:r>
        <w:rPr>
          <w:rFonts w:hint="eastAsia" w:ascii="仿宋" w:hAnsi="仿宋" w:eastAsia="仿宋"/>
          <w:sz w:val="32"/>
          <w:szCs w:val="32"/>
          <w:lang w:val="en-US" w:eastAsia="zh-CN"/>
        </w:rPr>
        <w:t>等各主要</w:t>
      </w:r>
      <w:r>
        <w:rPr>
          <w:rFonts w:hint="eastAsia" w:ascii="仿宋" w:hAnsi="仿宋" w:eastAsia="仿宋"/>
          <w:sz w:val="32"/>
          <w:szCs w:val="32"/>
        </w:rPr>
        <w:t>环节</w:t>
      </w:r>
      <w:r>
        <w:rPr>
          <w:rFonts w:hint="eastAsia" w:ascii="仿宋" w:hAnsi="仿宋" w:eastAsia="仿宋"/>
          <w:sz w:val="32"/>
          <w:szCs w:val="32"/>
          <w:lang w:val="en-US" w:eastAsia="zh-CN"/>
        </w:rPr>
        <w:t>应遵循的</w:t>
      </w:r>
      <w:r>
        <w:rPr>
          <w:rFonts w:hint="eastAsia" w:ascii="仿宋" w:hAnsi="仿宋" w:eastAsia="仿宋"/>
          <w:sz w:val="32"/>
          <w:szCs w:val="32"/>
        </w:rPr>
        <w:t>具体要求</w:t>
      </w:r>
      <w:r>
        <w:rPr>
          <w:rFonts w:hint="eastAsia" w:ascii="仿宋" w:hAnsi="仿宋" w:eastAsia="仿宋"/>
          <w:sz w:val="32"/>
          <w:szCs w:val="32"/>
          <w:lang w:val="en-US" w:eastAsia="zh-CN"/>
        </w:rPr>
        <w:t>进行了规定</w:t>
      </w:r>
      <w:r>
        <w:rPr>
          <w:rFonts w:hint="eastAsia" w:ascii="仿宋" w:hAnsi="仿宋" w:eastAsia="仿宋"/>
          <w:sz w:val="32"/>
          <w:szCs w:val="32"/>
        </w:rPr>
        <w:t>。</w:t>
      </w:r>
    </w:p>
    <w:p>
      <w:pPr>
        <w:rPr>
          <w:rFonts w:ascii="楷体" w:hAnsi="楷体" w:eastAsia="楷体"/>
          <w:sz w:val="32"/>
          <w:szCs w:val="32"/>
        </w:rPr>
      </w:pPr>
      <w:r>
        <w:rPr>
          <w:rFonts w:hint="eastAsia" w:ascii="楷体" w:hAnsi="楷体" w:eastAsia="楷体"/>
          <w:sz w:val="32"/>
          <w:szCs w:val="32"/>
        </w:rPr>
        <w:t>（一）基本规定</w:t>
      </w:r>
    </w:p>
    <w:p>
      <w:r>
        <w:rPr>
          <w:rFonts w:hint="eastAsia"/>
        </w:rPr>
        <w:t>1</w:t>
      </w:r>
      <w:r>
        <w:t>.</w:t>
      </w:r>
      <w:r>
        <w:rPr>
          <w:rFonts w:hint="eastAsia"/>
        </w:rPr>
        <w:t>适用产品和服务</w:t>
      </w:r>
    </w:p>
    <w:p>
      <w:r>
        <w:rPr>
          <w:rFonts w:hint="eastAsia"/>
        </w:rPr>
        <w:t>单件价值低的物品</w:t>
      </w:r>
      <w:r>
        <w:rPr>
          <w:rFonts w:hint="eastAsia"/>
          <w:lang w:val="en-US" w:eastAsia="zh-CN"/>
        </w:rPr>
        <w:t>从常理推断应</w:t>
      </w:r>
      <w:r>
        <w:rPr>
          <w:rFonts w:hint="eastAsia"/>
        </w:rPr>
        <w:t>不属于贵重物品</w:t>
      </w:r>
      <w:r>
        <w:rPr>
          <w:rFonts w:hint="eastAsia"/>
          <w:lang w:eastAsia="zh-CN"/>
        </w:rPr>
        <w:t>，</w:t>
      </w:r>
      <w:r>
        <w:rPr>
          <w:rFonts w:hint="eastAsia"/>
          <w:lang w:val="en-US" w:eastAsia="zh-CN"/>
        </w:rPr>
        <w:t>如客户执意选择本服务对快递服务组织存在特殊损失风险</w:t>
      </w:r>
      <w:r>
        <w:rPr>
          <w:rFonts w:hint="eastAsia"/>
        </w:rPr>
        <w:t>。</w:t>
      </w:r>
      <w:r>
        <w:rPr>
          <w:rFonts w:hint="eastAsia"/>
          <w:lang w:val="en-US" w:eastAsia="zh-CN"/>
        </w:rPr>
        <w:t>相反的情况下，</w:t>
      </w:r>
      <w:r>
        <w:rPr>
          <w:rFonts w:hint="eastAsia"/>
        </w:rPr>
        <w:t>单件价值过高的物品若发生</w:t>
      </w:r>
      <w:r>
        <w:rPr>
          <w:rFonts w:hint="eastAsia"/>
          <w:lang w:val="en-US" w:eastAsia="zh-CN"/>
        </w:rPr>
        <w:t>损毁、丢失</w:t>
      </w:r>
      <w:r>
        <w:rPr>
          <w:rFonts w:hint="eastAsia"/>
        </w:rPr>
        <w:t>等情况对于</w:t>
      </w:r>
      <w:r>
        <w:rPr>
          <w:rFonts w:hint="eastAsia"/>
          <w:lang w:val="en-US" w:eastAsia="zh-CN"/>
        </w:rPr>
        <w:t>快递服务组织会形成极大</w:t>
      </w:r>
      <w:r>
        <w:rPr>
          <w:rFonts w:hint="eastAsia"/>
        </w:rPr>
        <w:t>损失。所以</w:t>
      </w:r>
      <w:r>
        <w:rPr>
          <w:rFonts w:hint="eastAsia"/>
          <w:lang w:val="en-US" w:eastAsia="zh-CN"/>
        </w:rPr>
        <w:t>本标准要求快递服务组织应明确</w:t>
      </w:r>
      <w:r>
        <w:rPr>
          <w:rFonts w:hint="eastAsia"/>
        </w:rPr>
        <w:t>贵重物品的单件价值</w:t>
      </w:r>
      <w:r>
        <w:rPr>
          <w:rFonts w:hint="eastAsia"/>
          <w:lang w:val="en-US" w:eastAsia="zh-CN"/>
        </w:rPr>
        <w:t>的</w:t>
      </w:r>
      <w:r>
        <w:rPr>
          <w:rFonts w:hint="eastAsia"/>
        </w:rPr>
        <w:t>上限和下限。</w:t>
      </w:r>
    </w:p>
    <w:p>
      <w:r>
        <w:t>2.</w:t>
      </w:r>
      <w:r>
        <w:rPr>
          <w:rFonts w:hint="eastAsia"/>
        </w:rPr>
        <w:t>资费标准</w:t>
      </w:r>
    </w:p>
    <w:p>
      <w:pPr>
        <w:rPr>
          <w:rFonts w:hint="eastAsia"/>
          <w:lang w:val="en-US" w:eastAsia="zh-CN"/>
        </w:rPr>
      </w:pPr>
      <w:r>
        <w:rPr>
          <w:rFonts w:hint="eastAsia"/>
          <w:lang w:val="en-US" w:eastAsia="zh-CN"/>
        </w:rPr>
        <w:t>该部分主要是厘清顾客和快递服务组织的责任。对于声明价值超过一定数额或顾客认为价值较高的快件，应建议顾客选择保价。但在实际业务开展过程中，存在顾客选择了保价，但拒不支付资费的特殊情况。从保护快递服务组织的合理权益角度出发，本标准要求此类情况应按普通快件处理。</w:t>
      </w:r>
    </w:p>
    <w:p>
      <w:pPr>
        <w:rPr>
          <w:rFonts w:hint="eastAsia"/>
        </w:rPr>
      </w:pPr>
      <w:r>
        <w:rPr>
          <w:rFonts w:hint="eastAsia"/>
          <w:lang w:val="en-US" w:eastAsia="zh-CN"/>
        </w:rPr>
        <w:t>3.禁限寄范围</w:t>
      </w:r>
    </w:p>
    <w:p>
      <w:pPr>
        <w:rPr>
          <w:rFonts w:hint="eastAsia"/>
          <w:lang w:val="en-US" w:eastAsia="zh-CN"/>
        </w:rPr>
      </w:pPr>
      <w:r>
        <w:rPr>
          <w:rFonts w:hint="eastAsia"/>
          <w:lang w:val="en-US" w:eastAsia="zh-CN"/>
        </w:rPr>
        <w:t>贵重物品揽收范围包含文件和物品，在执行相关禁限寄物品管理规定的基础上，为规避可能存在的风险，本标准在调研不同企业的相关要求后作出了明确规定。</w:t>
      </w:r>
    </w:p>
    <w:p>
      <w:pPr>
        <w:rPr>
          <w:rFonts w:hint="eastAsia"/>
        </w:rPr>
      </w:pPr>
      <w:r>
        <w:rPr>
          <w:rFonts w:hint="eastAsia"/>
          <w:lang w:val="en-US" w:eastAsia="zh-CN"/>
        </w:rPr>
        <w:t>4.沟通</w:t>
      </w:r>
    </w:p>
    <w:p>
      <w:pPr>
        <w:rPr>
          <w:rFonts w:hint="eastAsia" w:ascii="仿宋" w:hAnsi="仿宋" w:eastAsia="仿宋"/>
          <w:szCs w:val="32"/>
          <w:lang w:val="en-US" w:eastAsia="zh-CN"/>
        </w:rPr>
      </w:pPr>
      <w:r>
        <w:rPr>
          <w:rFonts w:hint="eastAsia"/>
          <w:lang w:val="en-US" w:eastAsia="zh-CN"/>
        </w:rPr>
        <w:t>为做好贵重物品寄递服务，快递服务组织应从对内、对外两个方面做好沟通工作。对顾客的沟通，本标准强调了快递服务组织应提供的信息，并为未来沟通渠道的丰富和调整留出了丰富空间。对内沟通，本标准主要从推进业务高质量发展的角度明确了贵重物品寄递业务要与其他业务发展相协调，要做好内部服务质量监控。</w:t>
      </w:r>
    </w:p>
    <w:p>
      <w:pPr>
        <w:rPr>
          <w:rFonts w:ascii="楷体" w:hAnsi="楷体" w:eastAsia="楷体"/>
          <w:sz w:val="32"/>
          <w:szCs w:val="32"/>
        </w:rPr>
      </w:pPr>
      <w:r>
        <w:rPr>
          <w:rFonts w:hint="eastAsia" w:ascii="楷体" w:hAnsi="楷体" w:eastAsia="楷体"/>
          <w:sz w:val="32"/>
          <w:szCs w:val="32"/>
        </w:rPr>
        <w:t>（二）收寄</w:t>
      </w:r>
    </w:p>
    <w:p>
      <w:r>
        <w:rPr>
          <w:rFonts w:hint="eastAsia"/>
        </w:rPr>
        <w:t>1</w:t>
      </w:r>
      <w:r>
        <w:t>.</w:t>
      </w:r>
      <w:r>
        <w:rPr>
          <w:rFonts w:hint="eastAsia"/>
        </w:rPr>
        <w:t>收寄方式</w:t>
      </w:r>
    </w:p>
    <w:p>
      <w:pPr>
        <w:rPr>
          <w:rFonts w:hint="eastAsia"/>
          <w:lang w:val="en-US" w:eastAsia="zh-CN"/>
        </w:rPr>
      </w:pPr>
      <w:r>
        <w:rPr>
          <w:rFonts w:hint="eastAsia"/>
          <w:lang w:val="en-US" w:eastAsia="zh-CN"/>
        </w:rPr>
        <w:t>在</w:t>
      </w:r>
      <w:r>
        <w:rPr>
          <w:rFonts w:hint="eastAsia" w:ascii="仿宋" w:hAnsi="仿宋" w:eastAsia="仿宋"/>
          <w:sz w:val="32"/>
          <w:szCs w:val="32"/>
          <w:lang w:val="en-US" w:eastAsia="zh-CN"/>
        </w:rPr>
        <w:t>GB/T 27917</w:t>
      </w:r>
      <w:r>
        <w:rPr>
          <w:rFonts w:hint="eastAsia"/>
          <w:lang w:val="en-US" w:eastAsia="zh-CN"/>
        </w:rPr>
        <w:t>中主要规定了</w:t>
      </w:r>
      <w:r>
        <w:rPr>
          <w:rFonts w:hint="eastAsia"/>
        </w:rPr>
        <w:t>场所收寄和上门揽收</w:t>
      </w:r>
      <w:r>
        <w:rPr>
          <w:rFonts w:hint="eastAsia"/>
          <w:lang w:val="en-US" w:eastAsia="zh-CN"/>
        </w:rPr>
        <w:t>2种</w:t>
      </w:r>
      <w:r>
        <w:rPr>
          <w:rFonts w:hint="eastAsia"/>
        </w:rPr>
        <w:t>揽收形式。</w:t>
      </w:r>
      <w:r>
        <w:rPr>
          <w:rFonts w:hint="eastAsia"/>
          <w:lang w:val="en-US" w:eastAsia="zh-CN"/>
        </w:rPr>
        <w:t>但是部分快递服务组织已通过智能收寄终端开展相关业务，因此本标准补充了自行约定的其他方式。</w:t>
      </w:r>
    </w:p>
    <w:p>
      <w:r>
        <w:rPr>
          <w:rFonts w:hint="eastAsia"/>
        </w:rPr>
        <w:t>考虑贵重物品的特殊性，</w:t>
      </w:r>
      <w:r>
        <w:rPr>
          <w:rFonts w:hint="eastAsia"/>
          <w:lang w:val="en-US" w:eastAsia="zh-CN"/>
        </w:rPr>
        <w:t>为确保揽收过程不出现可能的风险，本标准明确要求收寄过程可监控、可复现</w:t>
      </w:r>
      <w:r>
        <w:rPr>
          <w:rFonts w:hint="eastAsia"/>
        </w:rPr>
        <w:t>。</w:t>
      </w:r>
      <w:r>
        <w:rPr>
          <w:rFonts w:hint="eastAsia"/>
          <w:lang w:val="en-US" w:eastAsia="zh-CN"/>
        </w:rPr>
        <w:t>上门收寄时收派员在与顾客当面确认内件类型、数量等重要信息的基础上，还应现场进行拍照或视频录制（各快递服务组织可自行明确具体操作要求）</w:t>
      </w:r>
      <w:r>
        <w:rPr>
          <w:rFonts w:hint="eastAsia"/>
        </w:rPr>
        <w:t>。</w:t>
      </w:r>
    </w:p>
    <w:p>
      <w:r>
        <w:rPr>
          <w:rFonts w:hint="eastAsia"/>
        </w:rPr>
        <w:t>2</w:t>
      </w:r>
      <w:r>
        <w:t>.</w:t>
      </w:r>
      <w:r>
        <w:rPr>
          <w:rFonts w:hint="eastAsia"/>
          <w:lang w:eastAsia="zh-CN"/>
        </w:rPr>
        <w:t>快件</w:t>
      </w:r>
      <w:r>
        <w:rPr>
          <w:rFonts w:hint="eastAsia"/>
        </w:rPr>
        <w:t>封装</w:t>
      </w:r>
    </w:p>
    <w:p>
      <w:r>
        <w:rPr>
          <w:rFonts w:hint="eastAsia"/>
          <w:lang w:val="en-US" w:eastAsia="zh-CN"/>
        </w:rPr>
        <w:t>本标准在</w:t>
      </w:r>
      <w:r>
        <w:rPr>
          <w:rFonts w:hint="eastAsia"/>
        </w:rPr>
        <w:t>充分考虑安全性，最大限度减少在运输、分拣等环节</w:t>
      </w:r>
      <w:r>
        <w:rPr>
          <w:rFonts w:hint="eastAsia"/>
          <w:lang w:val="en-US" w:eastAsia="zh-CN"/>
        </w:rPr>
        <w:t>可能出现的</w:t>
      </w:r>
      <w:r>
        <w:rPr>
          <w:rFonts w:hint="eastAsia"/>
        </w:rPr>
        <w:t>损</w:t>
      </w:r>
      <w:r>
        <w:rPr>
          <w:rFonts w:hint="eastAsia"/>
          <w:lang w:val="en-US" w:eastAsia="zh-CN"/>
        </w:rPr>
        <w:t>毁等情况的基础上，还明确要求各</w:t>
      </w:r>
      <w:r>
        <w:rPr>
          <w:rFonts w:hint="eastAsia"/>
        </w:rPr>
        <w:t>快递服务组织应制定</w:t>
      </w:r>
      <w:r>
        <w:rPr>
          <w:rFonts w:hint="eastAsia"/>
          <w:lang w:eastAsia="zh-CN"/>
        </w:rPr>
        <w:t>、</w:t>
      </w:r>
      <w:r>
        <w:rPr>
          <w:rFonts w:hint="eastAsia"/>
          <w:lang w:val="en-US" w:eastAsia="zh-CN"/>
        </w:rPr>
        <w:t>使用</w:t>
      </w:r>
      <w:r>
        <w:rPr>
          <w:rFonts w:hint="eastAsia"/>
        </w:rPr>
        <w:t>专用详情单和标签</w:t>
      </w:r>
      <w:r>
        <w:rPr>
          <w:rFonts w:hint="eastAsia"/>
          <w:lang w:eastAsia="zh-CN"/>
        </w:rPr>
        <w:t>，</w:t>
      </w:r>
      <w:r>
        <w:rPr>
          <w:rFonts w:hint="eastAsia"/>
          <w:lang w:val="en-US" w:eastAsia="zh-CN"/>
        </w:rPr>
        <w:t>便于在实际操作过程中显著示意操作人员，并利于视频、图像取证</w:t>
      </w:r>
      <w:r>
        <w:rPr>
          <w:rFonts w:hint="eastAsia"/>
        </w:rPr>
        <w:t>。</w:t>
      </w:r>
    </w:p>
    <w:p>
      <w:r>
        <w:rPr>
          <w:rFonts w:hint="eastAsia"/>
        </w:rPr>
        <w:t>3</w:t>
      </w:r>
      <w:r>
        <w:t>.</w:t>
      </w:r>
      <w:r>
        <w:rPr>
          <w:rFonts w:hint="eastAsia"/>
          <w:lang w:eastAsia="zh-CN"/>
        </w:rPr>
        <w:t>快件</w:t>
      </w:r>
      <w:r>
        <w:rPr>
          <w:rFonts w:hint="eastAsia"/>
        </w:rPr>
        <w:t>称重</w:t>
      </w:r>
    </w:p>
    <w:p>
      <w:r>
        <w:rPr>
          <w:rFonts w:hint="eastAsia"/>
          <w:lang w:val="en-US" w:eastAsia="zh-CN"/>
        </w:rPr>
        <w:t>现有国标中已明确了称重要求，但由于可能存在微小重量变化导致的内件损失，为便于</w:t>
      </w:r>
      <w:r>
        <w:rPr>
          <w:rFonts w:hint="eastAsia"/>
        </w:rPr>
        <w:t>与后续环节进行</w:t>
      </w:r>
      <w:r>
        <w:rPr>
          <w:rFonts w:hint="eastAsia"/>
          <w:lang w:val="en-US" w:eastAsia="zh-CN"/>
        </w:rPr>
        <w:t>重量</w:t>
      </w:r>
      <w:r>
        <w:rPr>
          <w:rFonts w:hint="eastAsia"/>
        </w:rPr>
        <w:t>对照，</w:t>
      </w:r>
      <w:r>
        <w:rPr>
          <w:rFonts w:hint="eastAsia"/>
          <w:lang w:val="en-US" w:eastAsia="zh-CN"/>
        </w:rPr>
        <w:t>通过</w:t>
      </w:r>
      <w:r>
        <w:rPr>
          <w:rFonts w:hint="eastAsia"/>
        </w:rPr>
        <w:t>重量判断丢失</w:t>
      </w:r>
      <w:r>
        <w:rPr>
          <w:rFonts w:hint="eastAsia"/>
          <w:lang w:eastAsia="zh-CN"/>
        </w:rPr>
        <w:t>、</w:t>
      </w:r>
      <w:r>
        <w:rPr>
          <w:rFonts w:hint="eastAsia"/>
          <w:lang w:val="en-US" w:eastAsia="zh-CN"/>
        </w:rPr>
        <w:t>损毁</w:t>
      </w:r>
      <w:r>
        <w:rPr>
          <w:rFonts w:hint="eastAsia"/>
        </w:rPr>
        <w:t>等情况</w:t>
      </w:r>
      <w:r>
        <w:rPr>
          <w:rFonts w:hint="eastAsia"/>
          <w:lang w:val="en-US" w:eastAsia="zh-CN"/>
        </w:rPr>
        <w:t>，本标准仍规定了称重过程。</w:t>
      </w:r>
    </w:p>
    <w:p>
      <w:pPr>
        <w:rPr>
          <w:rFonts w:hint="default" w:ascii="楷体" w:hAnsi="楷体" w:eastAsia="楷体"/>
          <w:sz w:val="32"/>
          <w:szCs w:val="32"/>
          <w:lang w:val="en-US" w:eastAsia="zh-CN"/>
        </w:rPr>
      </w:pPr>
      <w:r>
        <w:rPr>
          <w:rFonts w:hint="eastAsia" w:ascii="楷体" w:hAnsi="楷体" w:eastAsia="楷体"/>
          <w:sz w:val="32"/>
          <w:szCs w:val="32"/>
        </w:rPr>
        <w:t>（三）</w:t>
      </w:r>
      <w:r>
        <w:rPr>
          <w:rFonts w:hint="eastAsia" w:ascii="楷体" w:hAnsi="楷体" w:eastAsia="楷体"/>
          <w:sz w:val="32"/>
          <w:szCs w:val="32"/>
          <w:lang w:val="en-US" w:eastAsia="zh-CN"/>
        </w:rPr>
        <w:t>内部处理</w:t>
      </w:r>
    </w:p>
    <w:p>
      <w:r>
        <w:rPr>
          <w:rFonts w:hint="eastAsia"/>
        </w:rPr>
        <w:t>1</w:t>
      </w:r>
      <w:r>
        <w:t>.</w:t>
      </w:r>
      <w:r>
        <w:rPr>
          <w:rFonts w:hint="eastAsia"/>
        </w:rPr>
        <w:t>接收</w:t>
      </w:r>
    </w:p>
    <w:p>
      <w:pPr>
        <w:rPr>
          <w:rFonts w:hint="eastAsia"/>
        </w:rPr>
      </w:pPr>
      <w:r>
        <w:rPr>
          <w:rFonts w:hint="eastAsia"/>
          <w:lang w:val="en-US" w:eastAsia="zh-CN"/>
        </w:rPr>
        <w:t>本标准明确规定</w:t>
      </w:r>
      <w:r>
        <w:rPr>
          <w:rFonts w:hint="eastAsia"/>
        </w:rPr>
        <w:t>快递服务组织内部处理应安排专人、专区，并在监控覆盖范围内对贵重物品进行操作。</w:t>
      </w:r>
    </w:p>
    <w:p>
      <w:r>
        <w:rPr>
          <w:rFonts w:hint="eastAsia"/>
        </w:rPr>
        <w:t>2</w:t>
      </w:r>
      <w:r>
        <w:t>.</w:t>
      </w:r>
      <w:r>
        <w:rPr>
          <w:rFonts w:hint="eastAsia"/>
        </w:rPr>
        <w:t>分拣封发</w:t>
      </w:r>
    </w:p>
    <w:p>
      <w:pPr>
        <w:rPr>
          <w:rFonts w:hint="eastAsia"/>
          <w:lang w:val="en-US" w:eastAsia="zh-CN"/>
        </w:rPr>
      </w:pPr>
      <w:r>
        <w:rPr>
          <w:rFonts w:hint="eastAsia"/>
          <w:lang w:val="en-US" w:eastAsia="zh-CN"/>
        </w:rPr>
        <w:t>各</w:t>
      </w:r>
      <w:r>
        <w:rPr>
          <w:rFonts w:hint="eastAsia"/>
        </w:rPr>
        <w:t>快递服务组织</w:t>
      </w:r>
      <w:r>
        <w:rPr>
          <w:rFonts w:hint="eastAsia"/>
          <w:lang w:val="en-US" w:eastAsia="zh-CN"/>
        </w:rPr>
        <w:t>在分拣环节要求存在差异，有的要求必须手工不得</w:t>
      </w:r>
      <w:r>
        <w:rPr>
          <w:rFonts w:hint="eastAsia"/>
        </w:rPr>
        <w:t>上机</w:t>
      </w:r>
      <w:r>
        <w:rPr>
          <w:rFonts w:hint="eastAsia"/>
          <w:lang w:val="en-US" w:eastAsia="zh-CN"/>
        </w:rPr>
        <w:t>操作，有的则未明确</w:t>
      </w:r>
      <w:r>
        <w:rPr>
          <w:rFonts w:hint="eastAsia"/>
        </w:rPr>
        <w:t>。</w:t>
      </w:r>
      <w:r>
        <w:rPr>
          <w:rFonts w:hint="eastAsia"/>
          <w:lang w:val="en-US" w:eastAsia="zh-CN"/>
        </w:rPr>
        <w:t>因此，本标准仅从快件安全性、时效性角度给出规定。</w:t>
      </w:r>
    </w:p>
    <w:p>
      <w:r>
        <w:rPr>
          <w:rFonts w:hint="eastAsia"/>
        </w:rPr>
        <w:t>3</w:t>
      </w:r>
      <w:r>
        <w:t>.</w:t>
      </w:r>
      <w:r>
        <w:rPr>
          <w:rFonts w:hint="eastAsia"/>
        </w:rPr>
        <w:t>发运处理</w:t>
      </w:r>
    </w:p>
    <w:p>
      <w:pPr>
        <w:rPr>
          <w:rFonts w:hint="eastAsia"/>
          <w:lang w:val="en-US" w:eastAsia="zh-CN"/>
        </w:rPr>
      </w:pPr>
      <w:r>
        <w:rPr>
          <w:rFonts w:hint="eastAsia"/>
          <w:lang w:val="en-US" w:eastAsia="zh-CN"/>
        </w:rPr>
        <w:t>为确保安全和高效转运，本标准明确要求贵重物品应优先装车、分拣、卸车，应放置于车尾，优先中转，禁止留仓，各</w:t>
      </w:r>
      <w:r>
        <w:rPr>
          <w:rFonts w:hint="eastAsia"/>
        </w:rPr>
        <w:t>快递服务组织</w:t>
      </w:r>
      <w:r>
        <w:rPr>
          <w:rFonts w:hint="eastAsia"/>
          <w:lang w:val="en-US" w:eastAsia="zh-CN"/>
        </w:rPr>
        <w:t>可在此基础上进一步规定具体操作规范。</w:t>
      </w:r>
    </w:p>
    <w:p>
      <w:pPr>
        <w:rPr>
          <w:rFonts w:ascii="楷体" w:hAnsi="楷体" w:eastAsia="楷体"/>
          <w:sz w:val="32"/>
          <w:szCs w:val="32"/>
        </w:rPr>
      </w:pPr>
      <w:r>
        <w:rPr>
          <w:rFonts w:hint="eastAsia" w:ascii="楷体" w:hAnsi="楷体" w:eastAsia="楷体"/>
          <w:sz w:val="32"/>
          <w:szCs w:val="32"/>
        </w:rPr>
        <w:t>（四）投递</w:t>
      </w:r>
    </w:p>
    <w:p>
      <w:pPr>
        <w:rPr>
          <w:rFonts w:hint="eastAsia"/>
          <w:lang w:eastAsia="zh-CN"/>
        </w:rPr>
      </w:pPr>
      <w:r>
        <w:rPr>
          <w:rFonts w:hint="eastAsia"/>
        </w:rPr>
        <w:t>1</w:t>
      </w:r>
      <w:r>
        <w:t>.</w:t>
      </w:r>
      <w:r>
        <w:rPr>
          <w:rFonts w:hint="eastAsia"/>
          <w:lang w:val="en-US" w:eastAsia="zh-CN"/>
        </w:rPr>
        <w:t>末端</w:t>
      </w:r>
      <w:r>
        <w:rPr>
          <w:rFonts w:hint="eastAsia"/>
        </w:rPr>
        <w:t>投递</w:t>
      </w:r>
    </w:p>
    <w:p>
      <w:pPr>
        <w:rPr>
          <w:rFonts w:hint="eastAsia"/>
          <w:lang w:eastAsia="zh-CN"/>
        </w:rPr>
      </w:pPr>
      <w:r>
        <w:rPr>
          <w:rFonts w:hint="eastAsia"/>
        </w:rPr>
        <w:t>为保证</w:t>
      </w:r>
      <w:r>
        <w:rPr>
          <w:rFonts w:hint="eastAsia"/>
          <w:lang w:val="en-US" w:eastAsia="zh-CN"/>
        </w:rPr>
        <w:t>投递效率、提升</w:t>
      </w:r>
      <w:r>
        <w:rPr>
          <w:rFonts w:hint="eastAsia"/>
        </w:rPr>
        <w:t>客户满意度，</w:t>
      </w:r>
      <w:r>
        <w:rPr>
          <w:rFonts w:hint="eastAsia"/>
          <w:lang w:val="en-US" w:eastAsia="zh-CN"/>
        </w:rPr>
        <w:t>并减少投递环节和末端运输、暂存等带来的风险，本标准规定</w:t>
      </w:r>
      <w:r>
        <w:rPr>
          <w:rFonts w:hint="eastAsia"/>
        </w:rPr>
        <w:t>贵重物品应优先投递并</w:t>
      </w:r>
      <w:r>
        <w:rPr>
          <w:rFonts w:hint="eastAsia" w:ascii="仿宋" w:hAnsi="仿宋" w:eastAsia="仿宋"/>
          <w:sz w:val="32"/>
          <w:szCs w:val="32"/>
          <w:lang w:val="en-US" w:eastAsia="zh-CN"/>
        </w:rPr>
        <w:t>100%</w:t>
      </w:r>
      <w:r>
        <w:rPr>
          <w:rFonts w:hint="eastAsia"/>
        </w:rPr>
        <w:t>电话预约</w:t>
      </w:r>
      <w:r>
        <w:rPr>
          <w:rFonts w:hint="eastAsia"/>
          <w:lang w:eastAsia="zh-CN"/>
        </w:rPr>
        <w:t>，</w:t>
      </w:r>
      <w:r>
        <w:rPr>
          <w:rFonts w:hint="eastAsia"/>
          <w:lang w:val="en-US" w:eastAsia="zh-CN"/>
        </w:rPr>
        <w:t>且</w:t>
      </w:r>
      <w:r>
        <w:rPr>
          <w:rFonts w:hint="eastAsia"/>
        </w:rPr>
        <w:t>贵重物品</w:t>
      </w:r>
      <w:r>
        <w:rPr>
          <w:rFonts w:hint="eastAsia"/>
          <w:lang w:val="en-US" w:eastAsia="zh-CN"/>
        </w:rPr>
        <w:t>不得私自</w:t>
      </w:r>
      <w:r>
        <w:rPr>
          <w:rFonts w:hint="eastAsia"/>
        </w:rPr>
        <w:t>投交收发室、包裹柜、自提点等代投点</w:t>
      </w:r>
      <w:r>
        <w:rPr>
          <w:rFonts w:hint="eastAsia"/>
          <w:lang w:eastAsia="zh-CN"/>
        </w:rPr>
        <w:t>。</w:t>
      </w:r>
    </w:p>
    <w:p>
      <w:r>
        <w:rPr>
          <w:rFonts w:hint="eastAsia"/>
        </w:rPr>
        <w:t>2</w:t>
      </w:r>
      <w:r>
        <w:t>.</w:t>
      </w:r>
      <w:r>
        <w:rPr>
          <w:rFonts w:hint="eastAsia"/>
          <w:lang w:eastAsia="zh-CN"/>
        </w:rPr>
        <w:t>快件</w:t>
      </w:r>
      <w:r>
        <w:rPr>
          <w:rFonts w:hint="eastAsia"/>
        </w:rPr>
        <w:t>签收和开箱验货</w:t>
      </w:r>
    </w:p>
    <w:p>
      <w:pPr>
        <w:rPr>
          <w:rFonts w:hint="eastAsia"/>
          <w:lang w:val="en-US" w:eastAsia="zh-CN"/>
        </w:rPr>
      </w:pPr>
      <w:r>
        <w:rPr>
          <w:rFonts w:hint="eastAsia"/>
          <w:lang w:val="en-US" w:eastAsia="zh-CN"/>
        </w:rPr>
        <w:t>为保证</w:t>
      </w:r>
      <w:r>
        <w:rPr>
          <w:rFonts w:hint="eastAsia"/>
        </w:rPr>
        <w:t>贵重物品签收</w:t>
      </w:r>
      <w:r>
        <w:rPr>
          <w:rFonts w:hint="eastAsia"/>
          <w:lang w:val="en-US" w:eastAsia="zh-CN"/>
        </w:rPr>
        <w:t>环节的风险可控</w:t>
      </w:r>
      <w:r>
        <w:rPr>
          <w:rFonts w:hint="eastAsia"/>
        </w:rPr>
        <w:t>，</w:t>
      </w:r>
      <w:r>
        <w:rPr>
          <w:rFonts w:hint="eastAsia"/>
          <w:lang w:val="en-US" w:eastAsia="zh-CN"/>
        </w:rPr>
        <w:t>本标准明确代收人应出具有效身份证件或收件人电话许可，各</w:t>
      </w:r>
      <w:r>
        <w:rPr>
          <w:rFonts w:hint="eastAsia"/>
        </w:rPr>
        <w:t>快递服务组织</w:t>
      </w:r>
      <w:r>
        <w:rPr>
          <w:rFonts w:hint="eastAsia"/>
          <w:lang w:val="en-US" w:eastAsia="zh-CN"/>
        </w:rPr>
        <w:t>可根据各自情况作出详细规定。</w:t>
      </w:r>
    </w:p>
    <w:p>
      <w:r>
        <w:rPr>
          <w:rFonts w:hint="eastAsia"/>
          <w:lang w:val="en-US" w:eastAsia="zh-CN"/>
        </w:rPr>
        <w:t>考虑到收件人试机、试用并拒收的可能性，本标准要求当</w:t>
      </w:r>
      <w:r>
        <w:rPr>
          <w:rFonts w:hint="eastAsia"/>
        </w:rPr>
        <w:t>收件人提出开箱验货要求</w:t>
      </w:r>
      <w:r>
        <w:rPr>
          <w:rFonts w:hint="eastAsia"/>
          <w:lang w:val="en-US" w:eastAsia="zh-CN"/>
        </w:rPr>
        <w:t>的</w:t>
      </w:r>
      <w:r>
        <w:rPr>
          <w:rFonts w:hint="eastAsia"/>
        </w:rPr>
        <w:t>，</w:t>
      </w:r>
      <w:r>
        <w:rPr>
          <w:rFonts w:hint="eastAsia"/>
          <w:lang w:val="en-US" w:eastAsia="zh-CN"/>
        </w:rPr>
        <w:t>仅</w:t>
      </w:r>
      <w:r>
        <w:rPr>
          <w:rFonts w:hint="eastAsia"/>
        </w:rPr>
        <w:t>可开拆外包装进行验视</w:t>
      </w:r>
      <w:r>
        <w:rPr>
          <w:rFonts w:hint="eastAsia"/>
          <w:lang w:eastAsia="zh-CN"/>
        </w:rPr>
        <w:t>、</w:t>
      </w:r>
      <w:r>
        <w:rPr>
          <w:rFonts w:hint="eastAsia"/>
        </w:rPr>
        <w:t>清点内件数量，不得开拆物品内包装。</w:t>
      </w:r>
    </w:p>
    <w:p>
      <w:r>
        <w:rPr>
          <w:rFonts w:hint="eastAsia"/>
        </w:rPr>
        <w:t>3</w:t>
      </w:r>
      <w:r>
        <w:t>.</w:t>
      </w:r>
      <w:r>
        <w:rPr>
          <w:rFonts w:hint="eastAsia"/>
          <w:lang w:eastAsia="zh-CN"/>
        </w:rPr>
        <w:t>快件</w:t>
      </w:r>
      <w:r>
        <w:rPr>
          <w:rFonts w:hint="eastAsia"/>
        </w:rPr>
        <w:t>暂存</w:t>
      </w:r>
    </w:p>
    <w:p>
      <w:pPr>
        <w:rPr>
          <w:rFonts w:hint="eastAsia"/>
          <w:lang w:val="en-US" w:eastAsia="zh-CN"/>
        </w:rPr>
      </w:pPr>
      <w:r>
        <w:rPr>
          <w:rFonts w:hint="eastAsia"/>
          <w:lang w:val="en-US" w:eastAsia="zh-CN"/>
        </w:rPr>
        <w:t>对于当频次无法投递的贵重物品，本标准要求该快件应在投递网点暂存。且暂存期间，快递服务组织应确保贵重物品的安全，具体措施、办法由各快递服务组织自行规定。</w:t>
      </w:r>
    </w:p>
    <w:p>
      <w:pPr>
        <w:rPr>
          <w:rFonts w:hint="default"/>
          <w:lang w:val="en-US"/>
        </w:rPr>
      </w:pPr>
      <w:r>
        <w:rPr>
          <w:rFonts w:hint="eastAsia"/>
          <w:lang w:val="en-US" w:eastAsia="zh-CN"/>
        </w:rPr>
        <w:t>4</w:t>
      </w:r>
      <w:r>
        <w:t>.</w:t>
      </w:r>
      <w:r>
        <w:rPr>
          <w:rFonts w:hint="eastAsia"/>
          <w:lang w:val="en-US" w:eastAsia="zh-CN"/>
        </w:rPr>
        <w:t>追踪与查询</w:t>
      </w:r>
    </w:p>
    <w:p>
      <w:pPr>
        <w:rPr>
          <w:rFonts w:hint="eastAsia"/>
          <w:lang w:val="en-US" w:eastAsia="zh-CN"/>
        </w:rPr>
      </w:pPr>
      <w:r>
        <w:rPr>
          <w:rFonts w:hint="eastAsia"/>
          <w:lang w:val="en-US" w:eastAsia="zh-CN"/>
        </w:rPr>
        <w:t>由于贵重物品寄递服务的定位较高，为强调做好客户服务，避免与顾客心理预期形成落差，本标准明确要求快递服务组织应对贵重物品提供主动客服服务，对快件进行主动跟踪。</w:t>
      </w:r>
    </w:p>
    <w:p>
      <w:pPr>
        <w:rPr>
          <w:rFonts w:hint="default" w:ascii="楷体" w:hAnsi="楷体" w:eastAsia="楷体"/>
          <w:sz w:val="32"/>
          <w:szCs w:val="32"/>
          <w:lang w:val="en-US" w:eastAsia="zh-CN"/>
        </w:rPr>
      </w:pPr>
      <w:r>
        <w:rPr>
          <w:rFonts w:hint="eastAsia" w:ascii="楷体" w:hAnsi="楷体" w:eastAsia="楷体"/>
          <w:sz w:val="32"/>
          <w:szCs w:val="32"/>
        </w:rPr>
        <w:t>（五）</w:t>
      </w:r>
      <w:r>
        <w:rPr>
          <w:rFonts w:hint="eastAsia" w:ascii="楷体" w:hAnsi="楷体" w:eastAsia="楷体"/>
          <w:sz w:val="32"/>
          <w:szCs w:val="32"/>
          <w:lang w:val="en-US" w:eastAsia="zh-CN"/>
        </w:rPr>
        <w:t>服务保障</w:t>
      </w:r>
    </w:p>
    <w:p>
      <w:pPr>
        <w:rPr>
          <w:rFonts w:hint="eastAsia"/>
          <w:lang w:val="en-US" w:eastAsia="zh-CN"/>
        </w:rPr>
      </w:pPr>
      <w:r>
        <w:rPr>
          <w:rFonts w:hint="eastAsia"/>
          <w:lang w:val="en-US" w:eastAsia="zh-CN"/>
        </w:rPr>
        <w:t>为清晰</w:t>
      </w:r>
      <w:r>
        <w:rPr>
          <w:rFonts w:hint="eastAsia"/>
        </w:rPr>
        <w:t>责任划分</w:t>
      </w:r>
      <w:r>
        <w:rPr>
          <w:rFonts w:hint="eastAsia"/>
          <w:lang w:eastAsia="zh-CN"/>
        </w:rPr>
        <w:t>，</w:t>
      </w:r>
      <w:r>
        <w:rPr>
          <w:rFonts w:hint="eastAsia"/>
          <w:lang w:val="en-US" w:eastAsia="zh-CN"/>
        </w:rPr>
        <w:t>规避业务经营过程中的风险，本标准对可能存在的特殊情况进行了列举。考虑到已有快递服务组织遇到客户强制要求保价的情况，且风险较大，故此补充</w:t>
      </w:r>
      <w:r>
        <w:rPr>
          <w:rFonts w:hint="eastAsia" w:ascii="仿宋" w:hAnsi="仿宋" w:eastAsia="仿宋"/>
          <w:sz w:val="32"/>
          <w:szCs w:val="32"/>
          <w:lang w:val="en-US" w:eastAsia="zh-CN"/>
        </w:rPr>
        <w:t>8.1.2 e</w:t>
      </w:r>
      <w:r>
        <w:rPr>
          <w:rFonts w:hint="eastAsia"/>
          <w:lang w:val="en-US" w:eastAsia="zh-CN"/>
        </w:rPr>
        <w:t>条款。</w:t>
      </w:r>
    </w:p>
    <w:p>
      <w:pPr>
        <w:outlineLvl w:val="0"/>
        <w:rPr>
          <w:rFonts w:ascii="黑体" w:hAnsi="黑体" w:eastAsia="黑体"/>
          <w:sz w:val="32"/>
          <w:szCs w:val="32"/>
        </w:rPr>
      </w:pPr>
      <w:r>
        <w:rPr>
          <w:rFonts w:hint="eastAsia" w:ascii="黑体" w:hAnsi="黑体" w:eastAsia="黑体"/>
          <w:sz w:val="32"/>
          <w:szCs w:val="32"/>
        </w:rPr>
        <w:t>六、重大意见分歧的处理依据和结果</w:t>
      </w:r>
    </w:p>
    <w:p>
      <w:r>
        <w:rPr>
          <w:rFonts w:hint="eastAsia"/>
        </w:rPr>
        <w:t>无</w:t>
      </w:r>
    </w:p>
    <w:p>
      <w:pPr>
        <w:outlineLvl w:val="0"/>
        <w:rPr>
          <w:rFonts w:ascii="黑体" w:hAnsi="黑体" w:eastAsia="黑体"/>
          <w:sz w:val="32"/>
          <w:szCs w:val="32"/>
        </w:rPr>
      </w:pPr>
      <w:r>
        <w:rPr>
          <w:rFonts w:hint="eastAsia" w:ascii="黑体" w:hAnsi="黑体" w:eastAsia="黑体"/>
          <w:sz w:val="32"/>
          <w:szCs w:val="32"/>
        </w:rPr>
        <w:t>七、贯彻标准的措施建议</w:t>
      </w:r>
    </w:p>
    <w:p>
      <w:r>
        <w:rPr>
          <w:rFonts w:hint="eastAsia"/>
        </w:rPr>
        <w:t>暂无</w:t>
      </w:r>
    </w:p>
    <w:p/>
    <w:p>
      <w:pPr>
        <w:jc w:val="right"/>
        <w:rPr>
          <w:rFonts w:ascii="仿宋" w:hAnsi="仿宋" w:eastAsia="仿宋"/>
          <w:sz w:val="32"/>
          <w:szCs w:val="32"/>
        </w:rPr>
      </w:pPr>
      <w:r>
        <w:rPr>
          <w:rFonts w:hint="eastAsia" w:ascii="仿宋" w:hAnsi="仿宋" w:eastAsia="仿宋"/>
          <w:sz w:val="32"/>
          <w:szCs w:val="32"/>
        </w:rPr>
        <w:t>《贵重物品寄递服务规范》标准起草小组</w:t>
      </w:r>
    </w:p>
    <w:p>
      <w:pPr>
        <w:wordWrap w:val="0"/>
        <w:jc w:val="right"/>
        <w:rPr>
          <w:rFonts w:hint="eastAsia" w:ascii="仿宋" w:hAnsi="仿宋" w:eastAsia="仿宋"/>
          <w:sz w:val="32"/>
          <w:szCs w:val="32"/>
          <w:lang w:val="en-US" w:eastAsia="zh-CN"/>
        </w:rPr>
      </w:pPr>
      <w:r>
        <w:rPr>
          <w:rFonts w:hint="eastAsia" w:ascii="仿宋" w:hAnsi="仿宋" w:eastAsia="仿宋"/>
          <w:sz w:val="32"/>
          <w:szCs w:val="32"/>
        </w:rPr>
        <w:t>2</w:t>
      </w:r>
      <w:r>
        <w:rPr>
          <w:rFonts w:ascii="仿宋" w:hAnsi="仿宋" w:eastAsia="仿宋"/>
          <w:sz w:val="32"/>
          <w:szCs w:val="32"/>
        </w:rPr>
        <w:t>022</w:t>
      </w:r>
      <w:r>
        <w:rPr>
          <w:rFonts w:hint="eastAsia" w:ascii="仿宋" w:hAnsi="仿宋" w:eastAsia="仿宋"/>
          <w:sz w:val="32"/>
          <w:szCs w:val="32"/>
        </w:rPr>
        <w:t>年</w:t>
      </w:r>
      <w:r>
        <w:rPr>
          <w:rFonts w:hint="eastAsia" w:ascii="仿宋" w:hAnsi="仿宋"/>
          <w:sz w:val="32"/>
          <w:szCs w:val="32"/>
          <w:lang w:val="en-US" w:eastAsia="zh-CN"/>
        </w:rPr>
        <w:t>5</w:t>
      </w:r>
      <w:r>
        <w:rPr>
          <w:rFonts w:hint="eastAsia" w:ascii="仿宋" w:hAnsi="仿宋" w:eastAsia="仿宋"/>
          <w:sz w:val="32"/>
          <w:szCs w:val="32"/>
        </w:rPr>
        <w:t>月2</w:t>
      </w:r>
      <w:r>
        <w:rPr>
          <w:rFonts w:ascii="仿宋" w:hAnsi="仿宋" w:eastAsia="仿宋"/>
          <w:sz w:val="32"/>
          <w:szCs w:val="32"/>
        </w:rPr>
        <w:t>3</w:t>
      </w:r>
      <w:r>
        <w:rPr>
          <w:rFonts w:hint="eastAsia" w:ascii="仿宋" w:hAnsi="仿宋" w:eastAsia="仿宋"/>
          <w:sz w:val="32"/>
          <w:szCs w:val="32"/>
        </w:rPr>
        <w:t>日</w:t>
      </w:r>
      <w:r>
        <w:rPr>
          <w:rFonts w:hint="eastAsia" w:ascii="仿宋" w:hAnsi="仿宋"/>
          <w:sz w:val="32"/>
          <w:szCs w:val="32"/>
          <w:lang w:val="en-US" w:eastAsia="zh-CN"/>
        </w:rPr>
        <w:t xml:space="preserve">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等线"/>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等线"/>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multilevel"/>
    <w:tmpl w:val="00000000"/>
    <w:lvl w:ilvl="0" w:tentative="0">
      <w:start w:val="1"/>
      <w:numFmt w:val="lowerLetter"/>
      <w:pStyle w:val="19"/>
      <w:lvlText w:val="%1)"/>
      <w:lvlJc w:val="left"/>
      <w:pPr>
        <w:tabs>
          <w:tab w:val="left" w:pos="851"/>
        </w:tabs>
        <w:ind w:left="851" w:hanging="426"/>
      </w:pPr>
      <w:rPr>
        <w:rFonts w:hint="eastAsia" w:ascii="宋体" w:hAnsi="Times New Roman" w:eastAsia="宋体"/>
        <w:sz w:val="21"/>
      </w:rPr>
    </w:lvl>
    <w:lvl w:ilvl="1" w:tentative="0">
      <w:start w:val="1"/>
      <w:numFmt w:val="decimal"/>
      <w:pStyle w:val="17"/>
      <w:lvlText w:val="%2)"/>
      <w:lvlJc w:val="left"/>
      <w:pPr>
        <w:tabs>
          <w:tab w:val="left" w:pos="1276"/>
        </w:tabs>
        <w:ind w:left="1276" w:hanging="425"/>
      </w:pPr>
      <w:rPr>
        <w:rFonts w:hint="eastAsia" w:ascii="宋体" w:hAnsi="Times New Roman" w:eastAsia="宋体"/>
        <w:sz w:val="21"/>
      </w:rPr>
    </w:lvl>
    <w:lvl w:ilvl="2" w:tentative="0">
      <w:start w:val="1"/>
      <w:numFmt w:val="decimal"/>
      <w:pStyle w:val="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00000002"/>
    <w:multiLevelType w:val="multilevel"/>
    <w:tmpl w:val="00000002"/>
    <w:lvl w:ilvl="0" w:tentative="0">
      <w:start w:val="1"/>
      <w:numFmt w:val="none"/>
      <w:pStyle w:val="15"/>
      <w:suff w:val="nothing"/>
      <w:lvlText w:val="%1"/>
      <w:lvlJc w:val="left"/>
      <w:pPr>
        <w:ind w:left="0" w:firstLine="0"/>
      </w:pPr>
      <w:rPr>
        <w:rFonts w:hint="eastAsia"/>
      </w:rPr>
    </w:lvl>
    <w:lvl w:ilvl="1" w:tentative="0">
      <w:start w:val="1"/>
      <w:numFmt w:val="decimal"/>
      <w:pStyle w:val="13"/>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8"/>
      <w:suff w:val="nothing"/>
      <w:lvlText w:val="%1%2.%3.%4　"/>
      <w:lvlJc w:val="left"/>
      <w:pPr>
        <w:ind w:left="3261"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pStyle w:val="11"/>
      <w:suff w:val="nothing"/>
      <w:lvlText w:val="%1%2.%3.%4.%5.%6　"/>
      <w:lvlJc w:val="left"/>
      <w:pPr>
        <w:ind w:left="0" w:firstLine="0"/>
      </w:pPr>
      <w:rPr>
        <w:rFonts w:hint="eastAsia" w:ascii="黑体" w:eastAsia="黑体"/>
        <w:b w:val="0"/>
        <w:i w:val="0"/>
        <w:sz w:val="21"/>
      </w:rPr>
    </w:lvl>
    <w:lvl w:ilvl="6" w:tentative="0">
      <w:start w:val="1"/>
      <w:numFmt w:val="decimal"/>
      <w:pStyle w:val="12"/>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dlZjVmNGNhNTBkNmZkNGU1NDM2YmJhMmE4OGJkZTIifQ=="/>
  </w:docVars>
  <w:rsids>
    <w:rsidRoot w:val="00000000"/>
    <w:rsid w:val="008F3620"/>
    <w:rsid w:val="00EB1C0E"/>
    <w:rsid w:val="035976D0"/>
    <w:rsid w:val="038C0B25"/>
    <w:rsid w:val="03E53B7C"/>
    <w:rsid w:val="058B5F63"/>
    <w:rsid w:val="05985F76"/>
    <w:rsid w:val="05B40660"/>
    <w:rsid w:val="06ED65C5"/>
    <w:rsid w:val="071E7FC5"/>
    <w:rsid w:val="075E1044"/>
    <w:rsid w:val="091C7843"/>
    <w:rsid w:val="098961B3"/>
    <w:rsid w:val="0A960ECB"/>
    <w:rsid w:val="0B1619DE"/>
    <w:rsid w:val="0B1D4B2E"/>
    <w:rsid w:val="0D9D0F95"/>
    <w:rsid w:val="11825E91"/>
    <w:rsid w:val="11BD37A9"/>
    <w:rsid w:val="12954834"/>
    <w:rsid w:val="132C7A63"/>
    <w:rsid w:val="135537D3"/>
    <w:rsid w:val="138836DB"/>
    <w:rsid w:val="14B53B8B"/>
    <w:rsid w:val="165E6687"/>
    <w:rsid w:val="16652700"/>
    <w:rsid w:val="16C77E18"/>
    <w:rsid w:val="17705580"/>
    <w:rsid w:val="18BE5087"/>
    <w:rsid w:val="18CA6C92"/>
    <w:rsid w:val="18E966A5"/>
    <w:rsid w:val="19742FC2"/>
    <w:rsid w:val="1A602C46"/>
    <w:rsid w:val="1A7A7126"/>
    <w:rsid w:val="1DE5104B"/>
    <w:rsid w:val="1EC60780"/>
    <w:rsid w:val="1F0E1C97"/>
    <w:rsid w:val="1FE25C23"/>
    <w:rsid w:val="201B4CE7"/>
    <w:rsid w:val="209059DA"/>
    <w:rsid w:val="24AE6189"/>
    <w:rsid w:val="25363BBA"/>
    <w:rsid w:val="259E330C"/>
    <w:rsid w:val="25BD6B29"/>
    <w:rsid w:val="276C0E8D"/>
    <w:rsid w:val="28283A77"/>
    <w:rsid w:val="29670A22"/>
    <w:rsid w:val="29E13ACF"/>
    <w:rsid w:val="2ACD2088"/>
    <w:rsid w:val="2AF209C6"/>
    <w:rsid w:val="2C464066"/>
    <w:rsid w:val="2C8515EC"/>
    <w:rsid w:val="2CF1000A"/>
    <w:rsid w:val="2D1B2B00"/>
    <w:rsid w:val="2D48434D"/>
    <w:rsid w:val="2DA13527"/>
    <w:rsid w:val="2F0066C9"/>
    <w:rsid w:val="2F077B63"/>
    <w:rsid w:val="2F225326"/>
    <w:rsid w:val="30954145"/>
    <w:rsid w:val="311764F3"/>
    <w:rsid w:val="311B2ADB"/>
    <w:rsid w:val="32A765DB"/>
    <w:rsid w:val="36B50391"/>
    <w:rsid w:val="38324481"/>
    <w:rsid w:val="389A0BB8"/>
    <w:rsid w:val="39A1188D"/>
    <w:rsid w:val="3AEB1BCA"/>
    <w:rsid w:val="3B386A4B"/>
    <w:rsid w:val="3BE7490C"/>
    <w:rsid w:val="3D266EEA"/>
    <w:rsid w:val="3DEE0675"/>
    <w:rsid w:val="3F8B0D17"/>
    <w:rsid w:val="3FA410FF"/>
    <w:rsid w:val="3FFE7A67"/>
    <w:rsid w:val="40333415"/>
    <w:rsid w:val="42522358"/>
    <w:rsid w:val="42793034"/>
    <w:rsid w:val="44E907FE"/>
    <w:rsid w:val="472B5579"/>
    <w:rsid w:val="49D03871"/>
    <w:rsid w:val="4B3E3B52"/>
    <w:rsid w:val="4BA26ED2"/>
    <w:rsid w:val="4C7602E8"/>
    <w:rsid w:val="4E321617"/>
    <w:rsid w:val="4EF144D0"/>
    <w:rsid w:val="4F7D04FA"/>
    <w:rsid w:val="4F9E5F64"/>
    <w:rsid w:val="50E6017C"/>
    <w:rsid w:val="50EA41C6"/>
    <w:rsid w:val="523634E2"/>
    <w:rsid w:val="5270162B"/>
    <w:rsid w:val="565C4951"/>
    <w:rsid w:val="57A5205B"/>
    <w:rsid w:val="58511FA7"/>
    <w:rsid w:val="599E7D48"/>
    <w:rsid w:val="59B143BA"/>
    <w:rsid w:val="59C94665"/>
    <w:rsid w:val="5A9942FE"/>
    <w:rsid w:val="5B990699"/>
    <w:rsid w:val="5C402EB8"/>
    <w:rsid w:val="5CE61E76"/>
    <w:rsid w:val="5DE15055"/>
    <w:rsid w:val="5DE36B8B"/>
    <w:rsid w:val="5E671F3C"/>
    <w:rsid w:val="5E8202F6"/>
    <w:rsid w:val="5ECE5011"/>
    <w:rsid w:val="5FA537CC"/>
    <w:rsid w:val="5FC856AF"/>
    <w:rsid w:val="611B58B4"/>
    <w:rsid w:val="612035BC"/>
    <w:rsid w:val="61DD1805"/>
    <w:rsid w:val="62080F6F"/>
    <w:rsid w:val="62D82F16"/>
    <w:rsid w:val="63AE6C38"/>
    <w:rsid w:val="6622578E"/>
    <w:rsid w:val="66F607A6"/>
    <w:rsid w:val="676D213F"/>
    <w:rsid w:val="67E453B9"/>
    <w:rsid w:val="68613C85"/>
    <w:rsid w:val="6BD916B7"/>
    <w:rsid w:val="6CA877C3"/>
    <w:rsid w:val="6DAC0B3C"/>
    <w:rsid w:val="6E8D11D4"/>
    <w:rsid w:val="6FAE1915"/>
    <w:rsid w:val="6FDB5B99"/>
    <w:rsid w:val="70704095"/>
    <w:rsid w:val="70E17121"/>
    <w:rsid w:val="71E835E3"/>
    <w:rsid w:val="73784F5C"/>
    <w:rsid w:val="73CB6100"/>
    <w:rsid w:val="741862F5"/>
    <w:rsid w:val="749B7455"/>
    <w:rsid w:val="75A71B8C"/>
    <w:rsid w:val="75EB3ABA"/>
    <w:rsid w:val="77547743"/>
    <w:rsid w:val="78747E35"/>
    <w:rsid w:val="79116924"/>
    <w:rsid w:val="7A464621"/>
    <w:rsid w:val="7B804ED2"/>
    <w:rsid w:val="7B9C4A07"/>
    <w:rsid w:val="7C593195"/>
    <w:rsid w:val="7D3134F6"/>
    <w:rsid w:val="7D316D1C"/>
    <w:rsid w:val="7E4123ED"/>
    <w:rsid w:val="7E810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ind w:firstLine="720" w:firstLineChars="200"/>
      <w:jc w:val="both"/>
    </w:pPr>
    <w:rPr>
      <w:rFonts w:ascii="等线" w:hAnsi="等线" w:eastAsia="仿宋" w:cs="宋体"/>
      <w:kern w:val="2"/>
      <w:sz w:val="32"/>
      <w:szCs w:val="22"/>
      <w:lang w:val="en-US" w:eastAsia="zh-CN" w:bidi="ar-SA"/>
    </w:rPr>
  </w:style>
  <w:style w:type="character" w:default="1" w:styleId="4">
    <w:name w:val="Default Paragraph Font"/>
    <w:qFormat/>
    <w:uiPriority w:val="1"/>
  </w:style>
  <w:style w:type="table" w:default="1" w:styleId="5">
    <w:name w:val="Normal Table"/>
    <w:qFormat/>
    <w:uiPriority w:val="99"/>
    <w:tblPr>
      <w:tblLayout w:type="fixed"/>
      <w:tblCellMar>
        <w:top w:w="0" w:type="dxa"/>
        <w:left w:w="108" w:type="dxa"/>
        <w:bottom w:w="0" w:type="dxa"/>
        <w:right w:w="108" w:type="dxa"/>
      </w:tblCellMar>
    </w:tblPr>
  </w:style>
  <w:style w:type="paragraph" w:styleId="2">
    <w:name w:val="footer"/>
    <w:basedOn w:val="1"/>
    <w:link w:val="21"/>
    <w:qFormat/>
    <w:uiPriority w:val="99"/>
    <w:pPr>
      <w:tabs>
        <w:tab w:val="center" w:pos="4153"/>
        <w:tab w:val="right" w:pos="8306"/>
      </w:tabs>
      <w:snapToGrid w:val="0"/>
      <w:jc w:val="left"/>
    </w:pPr>
    <w:rPr>
      <w:sz w:val="18"/>
      <w:szCs w:val="18"/>
    </w:rPr>
  </w:style>
  <w:style w:type="paragraph" w:styleId="3">
    <w:name w:val="header"/>
    <w:basedOn w:val="1"/>
    <w:link w:val="20"/>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7">
    <w:name w:val="Table Paragraph"/>
    <w:basedOn w:val="1"/>
    <w:qFormat/>
    <w:uiPriority w:val="1"/>
    <w:rPr>
      <w:rFonts w:ascii="宋体" w:hAnsi="宋体" w:eastAsia="宋体" w:cs="宋体"/>
      <w:lang w:val="zh-CN" w:bidi="zh-CN"/>
    </w:rPr>
  </w:style>
  <w:style w:type="paragraph" w:customStyle="1" w:styleId="8">
    <w:name w:val="标准文件_二级条标题"/>
    <w:next w:val="9"/>
    <w:qFormat/>
    <w:uiPriority w:val="0"/>
    <w:pPr>
      <w:widowControl w:val="0"/>
      <w:numPr>
        <w:ilvl w:val="3"/>
        <w:numId w:val="1"/>
      </w:numPr>
      <w:spacing w:before="50" w:beforeLines="50" w:after="50" w:afterLines="50"/>
      <w:ind w:left="0"/>
      <w:jc w:val="both"/>
      <w:outlineLvl w:val="2"/>
    </w:pPr>
    <w:rPr>
      <w:rFonts w:ascii="黑体" w:hAnsi="Times New Roman" w:eastAsia="黑体" w:cs="Times New Roman"/>
      <w:kern w:val="0"/>
      <w:sz w:val="21"/>
      <w:szCs w:val="20"/>
      <w:lang w:val="en-US" w:eastAsia="zh-CN" w:bidi="ar-SA"/>
    </w:rPr>
  </w:style>
  <w:style w:type="paragraph" w:customStyle="1" w:styleId="9">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0">
    <w:name w:val="标准文件_三级条标题"/>
    <w:basedOn w:val="8"/>
    <w:next w:val="9"/>
    <w:qFormat/>
    <w:uiPriority w:val="0"/>
    <w:pPr>
      <w:widowControl/>
      <w:numPr>
        <w:ilvl w:val="4"/>
        <w:numId w:val="0"/>
      </w:numPr>
      <w:outlineLvl w:val="3"/>
    </w:pPr>
  </w:style>
  <w:style w:type="paragraph" w:customStyle="1" w:styleId="11">
    <w:name w:val="标准文件_四级条标题"/>
    <w:next w:val="1"/>
    <w:qFormat/>
    <w:uiPriority w:val="0"/>
    <w:pPr>
      <w:widowControl w:val="0"/>
      <w:numPr>
        <w:ilvl w:val="5"/>
        <w:numId w:val="1"/>
      </w:numPr>
      <w:spacing w:before="50" w:beforeLines="50" w:after="50" w:afterLines="50"/>
      <w:jc w:val="both"/>
      <w:outlineLvl w:val="4"/>
    </w:pPr>
    <w:rPr>
      <w:rFonts w:ascii="黑体" w:hAnsi="Times New Roman" w:eastAsia="黑体" w:cs="Times New Roman"/>
      <w:kern w:val="0"/>
      <w:sz w:val="21"/>
      <w:szCs w:val="20"/>
      <w:lang w:val="en-US" w:eastAsia="zh-CN" w:bidi="ar-SA"/>
    </w:rPr>
  </w:style>
  <w:style w:type="paragraph" w:customStyle="1" w:styleId="12">
    <w:name w:val="标准文件_五级条标题"/>
    <w:next w:val="1"/>
    <w:qFormat/>
    <w:uiPriority w:val="0"/>
    <w:pPr>
      <w:widowControl w:val="0"/>
      <w:numPr>
        <w:ilvl w:val="6"/>
        <w:numId w:val="1"/>
      </w:numPr>
      <w:spacing w:before="50" w:beforeLines="50" w:after="50" w:afterLines="50"/>
      <w:jc w:val="both"/>
      <w:outlineLvl w:val="5"/>
    </w:pPr>
    <w:rPr>
      <w:rFonts w:ascii="黑体" w:hAnsi="Times New Roman" w:eastAsia="黑体" w:cs="Times New Roman"/>
      <w:kern w:val="0"/>
      <w:sz w:val="21"/>
      <w:szCs w:val="20"/>
      <w:lang w:val="en-US" w:eastAsia="zh-CN" w:bidi="ar-SA"/>
    </w:rPr>
  </w:style>
  <w:style w:type="paragraph" w:customStyle="1" w:styleId="13">
    <w:name w:val="标准文件_章标题"/>
    <w:next w:val="1"/>
    <w:qFormat/>
    <w:uiPriority w:val="0"/>
    <w:pPr>
      <w:numPr>
        <w:ilvl w:val="1"/>
        <w:numId w:val="1"/>
      </w:numPr>
      <w:spacing w:before="100" w:beforeLines="100" w:after="100" w:afterLines="100"/>
      <w:jc w:val="both"/>
      <w:outlineLvl w:val="0"/>
    </w:pPr>
    <w:rPr>
      <w:rFonts w:ascii="黑体" w:hAnsi="Times New Roman" w:eastAsia="黑体" w:cs="Times New Roman"/>
      <w:kern w:val="0"/>
      <w:sz w:val="21"/>
      <w:szCs w:val="20"/>
      <w:lang w:val="en-US" w:eastAsia="zh-CN" w:bidi="ar-SA"/>
    </w:rPr>
  </w:style>
  <w:style w:type="paragraph" w:customStyle="1" w:styleId="14">
    <w:name w:val="标准文件_一级条标题"/>
    <w:basedOn w:val="13"/>
    <w:next w:val="1"/>
    <w:qFormat/>
    <w:uiPriority w:val="0"/>
    <w:pPr>
      <w:numPr>
        <w:ilvl w:val="2"/>
        <w:numId w:val="0"/>
      </w:numPr>
      <w:spacing w:before="50" w:beforeLines="50" w:after="50" w:afterLines="50"/>
      <w:ind w:left="6380"/>
      <w:outlineLvl w:val="1"/>
    </w:pPr>
  </w:style>
  <w:style w:type="paragraph" w:customStyle="1" w:styleId="15">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kern w:val="0"/>
      <w:sz w:val="32"/>
      <w:szCs w:val="20"/>
      <w:lang w:val="en-US" w:eastAsia="zh-CN" w:bidi="ar-SA"/>
    </w:rPr>
  </w:style>
  <w:style w:type="paragraph" w:customStyle="1" w:styleId="16">
    <w:name w:val="标准文件_二级无标题"/>
    <w:basedOn w:val="8"/>
    <w:qFormat/>
    <w:uiPriority w:val="0"/>
    <w:pPr>
      <w:spacing w:before="0" w:after="0"/>
      <w:ind w:left="3261"/>
      <w:outlineLvl w:val="9"/>
    </w:pPr>
    <w:rPr>
      <w:rFonts w:ascii="宋体" w:eastAsia="宋体"/>
    </w:rPr>
  </w:style>
  <w:style w:type="paragraph" w:customStyle="1" w:styleId="17">
    <w:name w:val="标准文件_数字编号列项（二级）"/>
    <w:qFormat/>
    <w:uiPriority w:val="0"/>
    <w:pPr>
      <w:numPr>
        <w:ilvl w:val="1"/>
        <w:numId w:val="2"/>
      </w:numPr>
      <w:jc w:val="both"/>
    </w:pPr>
    <w:rPr>
      <w:rFonts w:ascii="宋体" w:hAnsi="Times New Roman" w:eastAsia="宋体" w:cs="Times New Roman"/>
      <w:kern w:val="0"/>
      <w:sz w:val="21"/>
      <w:szCs w:val="20"/>
      <w:lang w:val="en-US" w:eastAsia="zh-CN" w:bidi="ar-SA"/>
    </w:rPr>
  </w:style>
  <w:style w:type="paragraph" w:customStyle="1" w:styleId="18">
    <w:name w:val="标准文件_编号列项（三级）"/>
    <w:qFormat/>
    <w:uiPriority w:val="0"/>
    <w:pPr>
      <w:numPr>
        <w:ilvl w:val="2"/>
        <w:numId w:val="2"/>
      </w:numPr>
    </w:pPr>
    <w:rPr>
      <w:rFonts w:ascii="宋体" w:hAnsi="Times New Roman" w:eastAsia="宋体" w:cs="Times New Roman"/>
      <w:kern w:val="0"/>
      <w:sz w:val="21"/>
      <w:szCs w:val="20"/>
      <w:lang w:val="en-US" w:eastAsia="zh-CN" w:bidi="ar-SA"/>
    </w:rPr>
  </w:style>
  <w:style w:type="paragraph" w:customStyle="1" w:styleId="19">
    <w:name w:val="标准文件_字母编号列项（一级）"/>
    <w:qFormat/>
    <w:uiPriority w:val="0"/>
    <w:pPr>
      <w:numPr>
        <w:ilvl w:val="0"/>
        <w:numId w:val="2"/>
      </w:numPr>
      <w:jc w:val="both"/>
    </w:pPr>
    <w:rPr>
      <w:rFonts w:ascii="宋体" w:hAnsi="Times New Roman" w:eastAsia="宋体" w:cs="Times New Roman"/>
      <w:kern w:val="0"/>
      <w:sz w:val="21"/>
      <w:szCs w:val="20"/>
      <w:lang w:val="en-US" w:eastAsia="zh-CN" w:bidi="ar-SA"/>
    </w:rPr>
  </w:style>
  <w:style w:type="character" w:customStyle="1" w:styleId="20">
    <w:name w:val="页眉 字符"/>
    <w:basedOn w:val="4"/>
    <w:link w:val="3"/>
    <w:qFormat/>
    <w:uiPriority w:val="99"/>
    <w:rPr>
      <w:sz w:val="18"/>
      <w:szCs w:val="18"/>
    </w:rPr>
  </w:style>
  <w:style w:type="character" w:customStyle="1" w:styleId="21">
    <w:name w:val="页脚 字符"/>
    <w:basedOn w:val="4"/>
    <w:link w:val="2"/>
    <w:qFormat/>
    <w:uiPriority w:val="99"/>
    <w:rPr>
      <w:sz w:val="18"/>
      <w:szCs w:val="18"/>
    </w:rPr>
  </w:style>
  <w:style w:type="paragraph" w:customStyle="1" w:styleId="22">
    <w:name w:val="标准文件_三级无标题"/>
    <w:basedOn w:val="10"/>
    <w:qFormat/>
    <w:uiPriority w:val="0"/>
    <w:pPr>
      <w:spacing w:before="0" w:beforeLines="0" w:after="0" w:afterLines="0"/>
      <w:ind w:left="2127"/>
      <w:outlineLvl w:val="9"/>
    </w:pPr>
    <w:rPr>
      <w:rFonts w:ascii="宋体" w:eastAsia="宋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2774</Words>
  <Characters>2892</Characters>
  <Paragraphs>120</Paragraphs>
  <TotalTime>1</TotalTime>
  <ScaleCrop>false</ScaleCrop>
  <LinksUpToDate>false</LinksUpToDate>
  <CharactersWithSpaces>2906</CharactersWithSpaces>
  <Application>WPS Office_10.8.2.6870_F1E327BC-269C-435d-A152-05C5408002CA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2022-03-23T01:02:00Z</dcterms:created>
  <dc:creator>ma linna</dc:creator>
  <cp:lastModifiedBy>谷斌</cp:lastModifiedBy>
  <dcterms:modified xsi:type="dcterms:W3CDTF">2022-06-15T01:38:42Z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830690fd47d1467c9045ef9f00f38f5c</vt:lpwstr>
  </property>
  <property fmtid="{D5CDD505-2E9C-101B-9397-08002B2CF9AE}" pid="3" name="commondata">
    <vt:lpwstr>eyJoZGlkIjoiZjRjNGQ5YWU0OWFlMmIxODFhMTEyNDNkMmI5ZWI0M2EifQ==</vt:lpwstr>
  </property>
  <property fmtid="{D5CDD505-2E9C-101B-9397-08002B2CF9AE}" pid="4" name="KSOProductBuildVer">
    <vt:lpwstr>2052-10.8.2.6870</vt:lpwstr>
  </property>
</Properties>
</file>